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B" w:rsidRPr="00F10F9B" w:rsidRDefault="00F10F9B" w:rsidP="00F10F9B">
      <w:pPr>
        <w:jc w:val="center"/>
        <w:rPr>
          <w:b/>
          <w:sz w:val="28"/>
          <w:szCs w:val="28"/>
        </w:rPr>
      </w:pPr>
      <w:r w:rsidRPr="00F10F9B">
        <w:rPr>
          <w:b/>
          <w:sz w:val="28"/>
          <w:szCs w:val="28"/>
        </w:rPr>
        <w:t>APÊNDICE II AO TERMO DE REFERÊNCIA</w:t>
      </w:r>
    </w:p>
    <w:p w:rsidR="00F10F9B" w:rsidRPr="00F10F9B" w:rsidRDefault="00F10F9B" w:rsidP="00F10F9B">
      <w:pPr>
        <w:jc w:val="center"/>
        <w:rPr>
          <w:b/>
        </w:rPr>
      </w:pPr>
    </w:p>
    <w:p w:rsidR="001F483D" w:rsidRPr="00F10F9B" w:rsidRDefault="00F10F9B" w:rsidP="00F10F9B">
      <w:pPr>
        <w:jc w:val="center"/>
        <w:rPr>
          <w:b/>
          <w:sz w:val="24"/>
          <w:szCs w:val="24"/>
        </w:rPr>
      </w:pPr>
      <w:r w:rsidRPr="00F10F9B">
        <w:rPr>
          <w:b/>
          <w:sz w:val="24"/>
          <w:szCs w:val="24"/>
        </w:rPr>
        <w:t>MATERIAL PARA PINTURA</w:t>
      </w:r>
    </w:p>
    <w:p w:rsidR="00565362" w:rsidRDefault="00565362"/>
    <w:tbl>
      <w:tblPr>
        <w:tblStyle w:val="Tabelacomgrade"/>
        <w:tblW w:w="0" w:type="auto"/>
        <w:jc w:val="center"/>
        <w:tblLook w:val="04A0"/>
      </w:tblPr>
      <w:tblGrid>
        <w:gridCol w:w="2529"/>
        <w:gridCol w:w="2093"/>
        <w:gridCol w:w="1186"/>
        <w:gridCol w:w="2912"/>
      </w:tblGrid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Obras e Infraestrutura Urbana e Rural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844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845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99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 w:cs="Courier"/>
                <w:b/>
                <w:bCs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Indústria, Comércio e Recursos Minerais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789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188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793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Segurança Pública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04.122.0173 2.229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250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501 – Outros </w:t>
            </w:r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256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501 – Outros </w:t>
            </w:r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325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 xml:space="preserve">Recursos </w:t>
            </w:r>
            <w:r w:rsidRPr="000C1686">
              <w:rPr>
                <w:rFonts w:ascii="Book Antiqua" w:hAnsi="Book Antiqua"/>
                <w:sz w:val="24"/>
                <w:szCs w:val="24"/>
              </w:rPr>
              <w:lastRenderedPageBreak/>
              <w:t>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lastRenderedPageBreak/>
              <w:t>27.812.0151.2.194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807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343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Agricultura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197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216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Administração e Gestão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04.122.0001.2.012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781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04.122.0001.2.012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04.122.0163.2.220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784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04.122.0163.2.220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12.361.0014.2.046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500 – Recursos não </w:t>
            </w:r>
            <w:r w:rsidRPr="000C1686">
              <w:rPr>
                <w:rFonts w:ascii="Book Antiqua" w:hAnsi="Book Antiqua"/>
                <w:sz w:val="24"/>
                <w:szCs w:val="24"/>
              </w:rPr>
              <w:lastRenderedPageBreak/>
              <w:t>vinculados de Impostos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lastRenderedPageBreak/>
              <w:t>12.361.0014.2.046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1943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12.365.0015.2.047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12.365.0015.2.047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1693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Cs/>
                <w:sz w:val="28"/>
                <w:szCs w:val="28"/>
              </w:rPr>
              <w:t>Secretaria Municipal de Cultura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810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565362" w:rsidRPr="000C1686" w:rsidTr="00F10F9B">
        <w:trPr>
          <w:trHeight w:val="686"/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669 – Outros Recursos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669 – Outros Recursos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08.122.0125.2.097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676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681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683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669 – Outros Recursos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i/>
                <w:sz w:val="28"/>
                <w:szCs w:val="28"/>
              </w:rPr>
              <w:t>Secretaria Municipal de Defesa Civil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350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351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trHeight w:val="380"/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Meio Ambiente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Natureza da </w:t>
            </w: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04.122.0001 2.116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286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Cs/>
                <w:sz w:val="28"/>
                <w:szCs w:val="28"/>
              </w:rPr>
              <w:t>Secretaria Municipal de Turismo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27.695.0001 2.186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817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Transportes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439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26.782.0186 2.244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440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565362" w:rsidRPr="002E257F" w:rsidTr="00F10F9B">
        <w:trPr>
          <w:jc w:val="center"/>
        </w:trPr>
        <w:tc>
          <w:tcPr>
            <w:tcW w:w="9913" w:type="dxa"/>
            <w:gridSpan w:val="4"/>
            <w:vAlign w:val="center"/>
          </w:tcPr>
          <w:p w:rsidR="00565362" w:rsidRPr="002E257F" w:rsidRDefault="00565362" w:rsidP="00F10F9B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Assessoria Direta do </w:t>
            </w:r>
            <w:r w:rsidRPr="002E257F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Gabinete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C168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04.122.0001 2.003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0C1686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0C1686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565362" w:rsidRPr="000C1686" w:rsidTr="00F10F9B">
        <w:trPr>
          <w:jc w:val="center"/>
        </w:trPr>
        <w:tc>
          <w:tcPr>
            <w:tcW w:w="2830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04.122.0001 2.003</w:t>
            </w:r>
          </w:p>
        </w:tc>
        <w:tc>
          <w:tcPr>
            <w:tcW w:w="2138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93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52" w:type="dxa"/>
            <w:vAlign w:val="center"/>
          </w:tcPr>
          <w:p w:rsidR="00565362" w:rsidRPr="000C1686" w:rsidRDefault="00565362" w:rsidP="00F10F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68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68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68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</w:tbl>
    <w:p w:rsidR="00565362" w:rsidRDefault="00565362"/>
    <w:sectPr w:rsidR="00565362" w:rsidSect="003A5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362"/>
    <w:rsid w:val="001F483D"/>
    <w:rsid w:val="003A5792"/>
    <w:rsid w:val="00565362"/>
    <w:rsid w:val="00F1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53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5362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5362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Margareth</cp:lastModifiedBy>
  <cp:revision>2</cp:revision>
  <dcterms:created xsi:type="dcterms:W3CDTF">2023-05-05T14:20:00Z</dcterms:created>
  <dcterms:modified xsi:type="dcterms:W3CDTF">2023-05-11T17:12:00Z</dcterms:modified>
</cp:coreProperties>
</file>