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41" w:rsidRDefault="00386041"/>
    <w:p w:rsidR="00386041" w:rsidRDefault="00386041"/>
    <w:p w:rsidR="00386041" w:rsidRPr="00115C8D" w:rsidRDefault="00BE5BF4" w:rsidP="00BE5BF4">
      <w:pPr>
        <w:jc w:val="center"/>
        <w:rPr>
          <w:b/>
          <w:sz w:val="28"/>
          <w:szCs w:val="28"/>
        </w:rPr>
      </w:pPr>
      <w:r w:rsidRPr="00115C8D">
        <w:rPr>
          <w:b/>
          <w:sz w:val="28"/>
          <w:szCs w:val="28"/>
        </w:rPr>
        <w:t>APÊNDICE II AO TERMO DE REFERÊNCIA</w:t>
      </w:r>
    </w:p>
    <w:p w:rsidR="00386041" w:rsidRDefault="00386041"/>
    <w:p w:rsidR="00386041" w:rsidRDefault="00386041"/>
    <w:p w:rsidR="00386041" w:rsidRDefault="00386041"/>
    <w:tbl>
      <w:tblPr>
        <w:tblStyle w:val="Tabelacomgrade"/>
        <w:tblW w:w="9970" w:type="dxa"/>
        <w:jc w:val="center"/>
        <w:tblLook w:val="04A0"/>
      </w:tblPr>
      <w:tblGrid>
        <w:gridCol w:w="3256"/>
        <w:gridCol w:w="3118"/>
        <w:gridCol w:w="3596"/>
      </w:tblGrid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Obras e Infraestrutura Urbana e Rural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705 –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Estados ref. Royalties do Petróleo e Gás Natural</w:t>
            </w:r>
          </w:p>
        </w:tc>
      </w:tr>
      <w:tr w:rsidR="00386041" w:rsidRPr="009D3731" w:rsidTr="004B1C0A">
        <w:trPr>
          <w:trHeight w:val="367"/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Defesa Civil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65B8">
              <w:rPr>
                <w:rFonts w:ascii="Book Antiqua" w:hAnsi="Book Antiqua"/>
                <w:sz w:val="24"/>
                <w:szCs w:val="24"/>
              </w:rPr>
              <w:t>04.182.0146.2.158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 Transportes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>26.782.0186.2.244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 Cultura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>13.122.0195.2.005.000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1F6EB5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1F6EB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1F6EB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D5756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lastRenderedPageBreak/>
              <w:t>27.812.0151.2.194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D5756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D57566">
              <w:rPr>
                <w:rFonts w:ascii="Book Antiqua" w:hAnsi="Book Antiqua"/>
                <w:sz w:val="24"/>
                <w:szCs w:val="24"/>
              </w:rPr>
              <w:t>. União ref. Royalties do Petróleo e Gás natural.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D5756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t>27.812.0189.2.191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t>27.812.0189.2.191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Agricultura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Indústria, Comércio e Recursos Minerais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04.122.0001.2.049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Segurança Pública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04.122.0173.2.229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C18E4">
              <w:rPr>
                <w:rFonts w:ascii="Book Antiqua" w:hAnsi="Book Antiqua"/>
                <w:sz w:val="24"/>
                <w:szCs w:val="24"/>
              </w:rPr>
              <w:t>06.122.0001.2.144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12.361.0014.2.046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500 – Recursos não vinculados </w:t>
            </w:r>
            <w:r w:rsidRPr="009B1046">
              <w:rPr>
                <w:rFonts w:ascii="Book Antiqua" w:hAnsi="Book Antiqua"/>
                <w:sz w:val="24"/>
                <w:szCs w:val="24"/>
              </w:rPr>
              <w:lastRenderedPageBreak/>
              <w:t>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lastRenderedPageBreak/>
              <w:t>12.365.0015.2.047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669 –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Outros</w:t>
            </w:r>
            <w:r w:rsidRPr="009B1046">
              <w:rPr>
                <w:rFonts w:ascii="Book Antiqua" w:hAnsi="Book Antiqua"/>
                <w:sz w:val="24"/>
                <w:szCs w:val="24"/>
              </w:rPr>
              <w:t>Recursosvinc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669 – Outros 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Recursos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08.122.0125.2.097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669 – Outros Recursos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Administração e Gestão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04.122.0001.2.012.000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04.122.0001.2.012.000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D3731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D3731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04.122.0163.2.220.000</w:t>
            </w:r>
          </w:p>
        </w:tc>
        <w:tc>
          <w:tcPr>
            <w:tcW w:w="3118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04.122.0163.2.220.000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43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430">
              <w:rPr>
                <w:rFonts w:ascii="Book Antiqua" w:hAnsi="Book Antiqua"/>
                <w:sz w:val="24"/>
                <w:szCs w:val="24"/>
              </w:rPr>
              <w:t>. União ref. Royalties do Petróleo e Gás natural.</w:t>
            </w:r>
          </w:p>
        </w:tc>
      </w:tr>
    </w:tbl>
    <w:p w:rsidR="00386041" w:rsidRDefault="00386041"/>
    <w:sectPr w:rsidR="00386041" w:rsidSect="001B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041"/>
    <w:rsid w:val="00115C8D"/>
    <w:rsid w:val="001B5B62"/>
    <w:rsid w:val="00386041"/>
    <w:rsid w:val="0074745F"/>
    <w:rsid w:val="008F668A"/>
    <w:rsid w:val="00B40FC8"/>
    <w:rsid w:val="00B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860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860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leticia</cp:lastModifiedBy>
  <cp:revision>4</cp:revision>
  <dcterms:created xsi:type="dcterms:W3CDTF">2024-03-26T18:34:00Z</dcterms:created>
  <dcterms:modified xsi:type="dcterms:W3CDTF">2024-03-27T17:46:00Z</dcterms:modified>
</cp:coreProperties>
</file>