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460E0D" w:rsidP="00AF3C5F">
      <w:pPr>
        <w:pStyle w:val="Ttulo"/>
        <w:rPr>
          <w:rFonts w:ascii="Times New Roman" w:hAnsi="Times New Roman"/>
          <w:b w:val="0"/>
          <w:i/>
          <w:noProof/>
          <w:sz w:val="40"/>
          <w:szCs w:val="40"/>
        </w:rPr>
      </w:pPr>
      <w:r w:rsidRPr="00460E0D">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E23641" w:rsidRDefault="00E23641"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6C4701" w:rsidRPr="008B17D3" w:rsidRDefault="006C4701" w:rsidP="006C4701">
      <w:pPr>
        <w:rPr>
          <w:b/>
        </w:rPr>
      </w:pPr>
      <w:r w:rsidRPr="008B17D3">
        <w:rPr>
          <w:b/>
        </w:rPr>
        <w:t>PROCESSO ADMINSITATIVO N.º15</w:t>
      </w:r>
      <w:r>
        <w:rPr>
          <w:b/>
        </w:rPr>
        <w:t>32</w:t>
      </w:r>
      <w:r w:rsidRPr="008B17D3">
        <w:rPr>
          <w:b/>
        </w:rPr>
        <w:t>/219</w:t>
      </w:r>
    </w:p>
    <w:p w:rsidR="006C4701" w:rsidRDefault="006C4701" w:rsidP="006C4701">
      <w:pPr>
        <w:rPr>
          <w:b/>
        </w:rPr>
      </w:pPr>
      <w:r w:rsidRPr="008B17D3">
        <w:rPr>
          <w:b/>
        </w:rPr>
        <w:t>PREGÃO PRESENCIAL</w:t>
      </w:r>
    </w:p>
    <w:p w:rsidR="006C4701" w:rsidRDefault="006C4701" w:rsidP="006C4701">
      <w:pPr>
        <w:rPr>
          <w:b/>
        </w:rPr>
      </w:pPr>
      <w:r>
        <w:rPr>
          <w:b/>
        </w:rPr>
        <w:t>EDITAL 026/2019</w:t>
      </w:r>
    </w:p>
    <w:p w:rsidR="006C4701" w:rsidRDefault="006C4701" w:rsidP="00F71DBF">
      <w:pPr>
        <w:ind w:left="3402"/>
        <w:jc w:val="both"/>
        <w:rPr>
          <w:b/>
        </w:rPr>
      </w:pPr>
      <w:r w:rsidRPr="00EA7708">
        <w:t>CONTRATAÇÃO DE PESSOA JURÍDICA</w:t>
      </w:r>
      <w:r w:rsidRPr="00EA7708">
        <w:rPr>
          <w:b/>
        </w:rPr>
        <w:t xml:space="preserve"> </w:t>
      </w:r>
      <w:r w:rsidRPr="00EA7708">
        <w:t>PARA</w:t>
      </w:r>
      <w:r w:rsidRPr="00EA7708">
        <w:rPr>
          <w:b/>
        </w:rPr>
        <w:t xml:space="preserve"> </w:t>
      </w:r>
      <w:r w:rsidRPr="002A7AC7">
        <w:rPr>
          <w:b/>
        </w:rPr>
        <w:t xml:space="preserve">EVENTUAL </w:t>
      </w:r>
      <w:r w:rsidRPr="00F368F9">
        <w:rPr>
          <w:b/>
        </w:rPr>
        <w:t xml:space="preserve">FORNECIMENTO DE </w:t>
      </w:r>
      <w:r>
        <w:rPr>
          <w:b/>
        </w:rPr>
        <w:t>FRALDAS DESCARTÁVEIS INFANTIL, JUVENIL, ADULTO E TOALHAS UMEDECIDAS.</w:t>
      </w:r>
    </w:p>
    <w:p w:rsidR="006C4701" w:rsidRPr="008B17D3" w:rsidRDefault="006C4701" w:rsidP="006C4701">
      <w:pPr>
        <w:jc w:val="both"/>
        <w:rPr>
          <w:b/>
        </w:rPr>
      </w:pPr>
    </w:p>
    <w:p w:rsidR="006C4701" w:rsidRPr="008B17D3" w:rsidRDefault="006C4701" w:rsidP="006C4701">
      <w:pPr>
        <w:jc w:val="both"/>
        <w:rPr>
          <w:b/>
        </w:rPr>
      </w:pPr>
      <w:r w:rsidRPr="008B17D3">
        <w:rPr>
          <w:b/>
        </w:rPr>
        <w:t>1. INTRODUÇÃO</w:t>
      </w:r>
    </w:p>
    <w:p w:rsidR="006C4701" w:rsidRPr="008B17D3" w:rsidRDefault="006C4701" w:rsidP="006C4701">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6C4701" w:rsidRPr="008B17D3" w:rsidRDefault="006C4701" w:rsidP="006C4701">
      <w:pPr>
        <w:jc w:val="both"/>
      </w:pPr>
      <w:r w:rsidRPr="008B17D3">
        <w:t xml:space="preserve">O Fundo Municipal de Saúde pretende </w:t>
      </w:r>
      <w:r w:rsidRPr="008B17D3">
        <w:rPr>
          <w:b/>
        </w:rPr>
        <w:t xml:space="preserve">registrar preços </w:t>
      </w:r>
      <w:r w:rsidRPr="008B17D3">
        <w:t xml:space="preserve">para o </w:t>
      </w:r>
      <w:r w:rsidRPr="002A7AC7">
        <w:rPr>
          <w:b/>
        </w:rPr>
        <w:t xml:space="preserve">eventual </w:t>
      </w:r>
      <w:r w:rsidRPr="00F368F9">
        <w:rPr>
          <w:b/>
        </w:rPr>
        <w:t xml:space="preserve">fornecimento de </w:t>
      </w:r>
      <w:r>
        <w:rPr>
          <w:b/>
        </w:rPr>
        <w:t>fraldas descartáveis infantil, juvenil, adulto e toalhas umedecidas</w:t>
      </w:r>
      <w:r w:rsidRPr="008B17D3">
        <w:t>, com observância do disposto na Lei nº 10.520/02, e, subsidiariamente, na Lei nº 8.666/93, e nas demais normas legais e regulamentares.</w:t>
      </w:r>
    </w:p>
    <w:p w:rsidR="006C4701" w:rsidRPr="008B17D3" w:rsidRDefault="006C4701" w:rsidP="006C4701">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6C4701" w:rsidRPr="008B17D3" w:rsidRDefault="006C4701" w:rsidP="006C4701">
      <w:pPr>
        <w:jc w:val="both"/>
      </w:pPr>
    </w:p>
    <w:p w:rsidR="006C4701" w:rsidRPr="008B17D3" w:rsidRDefault="006C4701" w:rsidP="006C4701">
      <w:pPr>
        <w:rPr>
          <w:b/>
        </w:rPr>
      </w:pPr>
      <w:r w:rsidRPr="008B17D3">
        <w:rPr>
          <w:b/>
        </w:rPr>
        <w:t>2. DO OBJETO:</w:t>
      </w:r>
    </w:p>
    <w:p w:rsidR="006C4701" w:rsidRPr="008B17D3" w:rsidRDefault="006C4701" w:rsidP="006C4701">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 </w:t>
      </w:r>
      <w:r w:rsidRPr="002A7AC7">
        <w:rPr>
          <w:b/>
        </w:rPr>
        <w:t xml:space="preserve">eventual </w:t>
      </w:r>
      <w:r w:rsidRPr="00F368F9">
        <w:rPr>
          <w:b/>
        </w:rPr>
        <w:t xml:space="preserve">fornecimento de </w:t>
      </w:r>
      <w:r>
        <w:rPr>
          <w:b/>
        </w:rPr>
        <w:t>fraldas descartáveis infantil, juvenil, adulto e toalhas umedecidas</w:t>
      </w:r>
      <w:r w:rsidRPr="008B17D3">
        <w:rPr>
          <w:b/>
        </w:rPr>
        <w:t>,</w:t>
      </w:r>
      <w:r w:rsidRPr="008B17D3">
        <w:t xml:space="preserve"> pelo prazo de </w:t>
      </w:r>
      <w:r w:rsidRPr="008B17D3">
        <w:rPr>
          <w:b/>
        </w:rPr>
        <w:t>12 (doze) meses</w:t>
      </w:r>
      <w:r w:rsidRPr="008B17D3">
        <w:t>.</w:t>
      </w:r>
    </w:p>
    <w:p w:rsidR="006C4701" w:rsidRPr="008B17D3" w:rsidRDefault="006C4701" w:rsidP="006C4701">
      <w:pPr>
        <w:autoSpaceDE w:val="0"/>
        <w:autoSpaceDN w:val="0"/>
        <w:adjustRightInd w:val="0"/>
        <w:jc w:val="both"/>
      </w:pPr>
    </w:p>
    <w:p w:rsidR="006C4701" w:rsidRPr="008B17D3" w:rsidRDefault="006C4701" w:rsidP="006C4701">
      <w:pPr>
        <w:jc w:val="both"/>
        <w:rPr>
          <w:b/>
        </w:rPr>
      </w:pPr>
      <w:r w:rsidRPr="008B17D3">
        <w:rPr>
          <w:b/>
        </w:rPr>
        <w:t xml:space="preserve">3. JUSTIFICATIVA </w:t>
      </w:r>
    </w:p>
    <w:p w:rsidR="006C4701" w:rsidRPr="008B17D3" w:rsidRDefault="006C4701" w:rsidP="006C4701">
      <w:pPr>
        <w:jc w:val="both"/>
      </w:pPr>
      <w:r w:rsidRPr="008B17D3">
        <w:rPr>
          <w:b/>
        </w:rPr>
        <w:t>3.1.</w:t>
      </w:r>
      <w:r w:rsidRPr="008B17D3">
        <w:t xml:space="preserve"> O presente Termo de Referência tem por objetivo estabelecer os requisitos e especificações técnicas para ao </w:t>
      </w:r>
      <w:r w:rsidRPr="002A7AC7">
        <w:rPr>
          <w:b/>
        </w:rPr>
        <w:t xml:space="preserve">eventual </w:t>
      </w:r>
      <w:r w:rsidRPr="00F368F9">
        <w:rPr>
          <w:b/>
        </w:rPr>
        <w:t xml:space="preserve">fornecimento de </w:t>
      </w:r>
      <w:r>
        <w:rPr>
          <w:b/>
        </w:rPr>
        <w:t>fraldas descartáveis infantil, juvenil, adulto e toalhas umedecidas</w:t>
      </w:r>
      <w:r w:rsidRPr="008B17D3">
        <w:t>.</w:t>
      </w:r>
    </w:p>
    <w:p w:rsidR="006C4701" w:rsidRPr="00FE33C3" w:rsidRDefault="006C4701" w:rsidP="006C4701">
      <w:pPr>
        <w:ind w:firstLine="709"/>
        <w:jc w:val="both"/>
      </w:pPr>
      <w:r w:rsidRPr="00936F95">
        <w:t xml:space="preserve">CONSIDERANDO que a Secretaria Municipal de Saúde atende demandas judiciais, tutelas judiciais e o cadastro sócio – econômico de usuários do SUS </w:t>
      </w:r>
      <w:r>
        <w:t>os quais atendem as necessidades de crianças, adolescentes, adultos, pessoas portadoras de algum grau de deficiência e idosos.</w:t>
      </w:r>
    </w:p>
    <w:p w:rsidR="006C4701" w:rsidRDefault="006C4701" w:rsidP="006C4701">
      <w:pPr>
        <w:tabs>
          <w:tab w:val="left" w:pos="2356"/>
        </w:tabs>
        <w:ind w:firstLine="709"/>
        <w:jc w:val="both"/>
        <w:rPr>
          <w:rStyle w:val="Forte"/>
          <w:bdr w:val="none" w:sz="0" w:space="0" w:color="auto" w:frame="1"/>
          <w:shd w:val="clear" w:color="auto" w:fill="FAFAFA"/>
        </w:rPr>
      </w:pPr>
      <w:r w:rsidRPr="009878B2">
        <w:t>CONSIDERANDO</w:t>
      </w:r>
      <w:r w:rsidRPr="009878B2">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878B2">
        <w:t xml:space="preserve"> (CF/88 </w:t>
      </w:r>
      <w:r w:rsidRPr="009878B2">
        <w:rPr>
          <w:rStyle w:val="Forte"/>
          <w:bdr w:val="none" w:sz="0" w:space="0" w:color="auto" w:frame="1"/>
          <w:shd w:val="clear" w:color="auto" w:fill="FAFAFA"/>
        </w:rPr>
        <w:t>Art. 196).</w:t>
      </w:r>
    </w:p>
    <w:p w:rsidR="006C4701" w:rsidRPr="00553129" w:rsidRDefault="006C4701" w:rsidP="006C4701">
      <w:pPr>
        <w:ind w:firstLine="709"/>
        <w:jc w:val="both"/>
      </w:pPr>
      <w:r w:rsidRPr="00553129">
        <w:t>A solicitação através de Registro de Preço se justificava pelo fato de ser aquisição eventual e futura, não sabendo ao certo a demanda administrativa.</w:t>
      </w:r>
    </w:p>
    <w:p w:rsidR="006C4701" w:rsidRPr="00553129" w:rsidRDefault="006C4701" w:rsidP="006C4701">
      <w:pPr>
        <w:autoSpaceDE w:val="0"/>
        <w:autoSpaceDN w:val="0"/>
        <w:adjustRightInd w:val="0"/>
        <w:ind w:firstLine="709"/>
        <w:jc w:val="both"/>
      </w:pPr>
      <w:r w:rsidRPr="00553129">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6C4701" w:rsidRDefault="006C4701" w:rsidP="006C4701">
      <w:pPr>
        <w:tabs>
          <w:tab w:val="left" w:pos="142"/>
        </w:tabs>
        <w:jc w:val="both"/>
        <w:rPr>
          <w:b/>
        </w:rPr>
      </w:pPr>
    </w:p>
    <w:p w:rsidR="006C4701" w:rsidRPr="002372C6" w:rsidRDefault="006C4701" w:rsidP="006C4701">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6C4701" w:rsidRPr="00FA73CF" w:rsidRDefault="006C4701" w:rsidP="006C4701">
      <w:pPr>
        <w:jc w:val="both"/>
        <w:rPr>
          <w:b/>
          <w:sz w:val="16"/>
          <w:szCs w:val="16"/>
        </w:rPr>
      </w:pPr>
    </w:p>
    <w:p w:rsidR="006C4701" w:rsidRPr="00734A11" w:rsidRDefault="006C4701" w:rsidP="006C4701">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6C4701" w:rsidRPr="00FA73CF" w:rsidRDefault="006C4701" w:rsidP="006C4701">
      <w:pPr>
        <w:ind w:firstLine="709"/>
        <w:jc w:val="both"/>
        <w:rPr>
          <w:sz w:val="16"/>
          <w:szCs w:val="16"/>
        </w:rPr>
      </w:pPr>
    </w:p>
    <w:p w:rsidR="006C4701" w:rsidRPr="00734A11" w:rsidRDefault="006C4701" w:rsidP="006C4701">
      <w:pPr>
        <w:ind w:left="1701"/>
        <w:jc w:val="both"/>
        <w:rPr>
          <w:i/>
          <w:color w:val="000000"/>
        </w:rPr>
      </w:pPr>
      <w:bookmarkStart w:id="0" w:name="art48."/>
      <w:bookmarkEnd w:id="0"/>
      <w:proofErr w:type="gramStart"/>
      <w:r w:rsidRPr="00734A11">
        <w:rPr>
          <w:i/>
          <w:color w:val="000000"/>
        </w:rPr>
        <w:t>“Art. 48.</w:t>
      </w:r>
      <w:proofErr w:type="gramEnd"/>
      <w:r w:rsidRPr="00734A11">
        <w:rPr>
          <w:i/>
          <w:color w:val="000000"/>
        </w:rPr>
        <w:t xml:space="preserve"> Para o cumprimento do disposto no art. 47 desta Lei Complementar, a administração pública:</w:t>
      </w:r>
    </w:p>
    <w:p w:rsidR="006C4701" w:rsidRPr="00FA73CF" w:rsidRDefault="006C4701" w:rsidP="006C4701">
      <w:pPr>
        <w:ind w:left="1701"/>
        <w:jc w:val="both"/>
        <w:rPr>
          <w:i/>
          <w:color w:val="000000"/>
          <w:sz w:val="16"/>
          <w:szCs w:val="16"/>
        </w:rPr>
      </w:pPr>
    </w:p>
    <w:p w:rsidR="006C4701" w:rsidRPr="00734A11" w:rsidRDefault="006C4701" w:rsidP="006C4701">
      <w:pPr>
        <w:ind w:left="1701"/>
        <w:jc w:val="both"/>
        <w:rPr>
          <w:b/>
          <w:i/>
          <w:color w:val="000000"/>
        </w:rPr>
      </w:pPr>
      <w:bookmarkStart w:id="1" w:name="art48i."/>
      <w:bookmarkEnd w:id="1"/>
      <w:r w:rsidRPr="00734A11">
        <w:rPr>
          <w:b/>
          <w:i/>
          <w:color w:val="000000"/>
        </w:rPr>
        <w:lastRenderedPageBreak/>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6C4701" w:rsidRPr="00FA73CF" w:rsidRDefault="006C4701" w:rsidP="006C4701">
      <w:pPr>
        <w:jc w:val="both"/>
        <w:rPr>
          <w:b/>
          <w:i/>
          <w:color w:val="000000"/>
          <w:sz w:val="16"/>
          <w:szCs w:val="16"/>
        </w:rPr>
      </w:pPr>
    </w:p>
    <w:p w:rsidR="006C4701" w:rsidRDefault="006C4701" w:rsidP="006C4701">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C4701" w:rsidRDefault="006C4701" w:rsidP="006C4701">
      <w:pPr>
        <w:ind w:firstLine="708"/>
        <w:jc w:val="both"/>
      </w:pPr>
    </w:p>
    <w:p w:rsidR="006C4701" w:rsidRPr="00553129" w:rsidRDefault="006C4701" w:rsidP="006C4701">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6C4701" w:rsidRPr="00734A11" w:rsidRDefault="006C4701" w:rsidP="006C4701">
      <w:pPr>
        <w:ind w:firstLine="708"/>
        <w:jc w:val="both"/>
      </w:pPr>
    </w:p>
    <w:p w:rsidR="006C4701" w:rsidRPr="00DD1AB1" w:rsidRDefault="006C4701" w:rsidP="006C4701">
      <w:pPr>
        <w:jc w:val="both"/>
        <w:rPr>
          <w:b/>
          <w:color w:val="000000" w:themeColor="text1"/>
        </w:rPr>
      </w:pPr>
      <w:r>
        <w:rPr>
          <w:b/>
          <w:color w:val="000000" w:themeColor="text1"/>
        </w:rPr>
        <w:t>3.2</w:t>
      </w:r>
      <w:r w:rsidRPr="00BE0602">
        <w:rPr>
          <w:b/>
          <w:color w:val="000000" w:themeColor="text1"/>
        </w:rPr>
        <w:t>.  FUNDAMENTAÇÃO LEGAL</w:t>
      </w:r>
    </w:p>
    <w:p w:rsidR="006C4701" w:rsidRPr="00DF04E3" w:rsidRDefault="006C4701" w:rsidP="006C4701">
      <w:pPr>
        <w:jc w:val="both"/>
        <w:rPr>
          <w:color w:val="000000" w:themeColor="text1"/>
        </w:rPr>
      </w:pPr>
      <w:r>
        <w:rPr>
          <w:b/>
          <w:color w:val="000000" w:themeColor="text1"/>
        </w:rPr>
        <w:t>3.2</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6C4701" w:rsidRPr="00DF04E3" w:rsidRDefault="006C4701" w:rsidP="006C4701">
      <w:pPr>
        <w:jc w:val="both"/>
        <w:rPr>
          <w:color w:val="000000" w:themeColor="text1"/>
        </w:rPr>
      </w:pPr>
      <w:r>
        <w:rPr>
          <w:b/>
          <w:color w:val="000000" w:themeColor="text1"/>
        </w:rPr>
        <w:t>3.2</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6C4701" w:rsidRPr="00DF04E3" w:rsidRDefault="006C4701" w:rsidP="006C4701">
      <w:pPr>
        <w:jc w:val="both"/>
        <w:rPr>
          <w:color w:val="000000" w:themeColor="text1"/>
          <w:kern w:val="36"/>
        </w:rPr>
      </w:pPr>
      <w:r>
        <w:rPr>
          <w:b/>
          <w:color w:val="000000" w:themeColor="text1"/>
        </w:rPr>
        <w:t>3.2</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6C4701" w:rsidRPr="00DF04E3" w:rsidRDefault="006C4701" w:rsidP="006C4701">
      <w:pPr>
        <w:jc w:val="both"/>
        <w:rPr>
          <w:color w:val="000000" w:themeColor="text1"/>
        </w:rPr>
      </w:pPr>
      <w:r>
        <w:rPr>
          <w:b/>
          <w:color w:val="000000" w:themeColor="text1"/>
        </w:rPr>
        <w:t>3.2</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6C4701" w:rsidRPr="00DF04E3" w:rsidRDefault="006C4701" w:rsidP="006C4701">
      <w:pPr>
        <w:jc w:val="both"/>
        <w:rPr>
          <w:color w:val="000000" w:themeColor="text1"/>
          <w:kern w:val="36"/>
        </w:rPr>
      </w:pPr>
      <w:r>
        <w:rPr>
          <w:b/>
          <w:color w:val="000000" w:themeColor="text1"/>
        </w:rPr>
        <w:t>3.2</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6C4701" w:rsidRPr="008B17D3" w:rsidRDefault="006C4701" w:rsidP="006C4701">
      <w:pPr>
        <w:tabs>
          <w:tab w:val="left" w:pos="2356"/>
        </w:tabs>
        <w:ind w:firstLine="709"/>
        <w:jc w:val="both"/>
        <w:rPr>
          <w:rStyle w:val="Forte"/>
          <w:bdr w:val="none" w:sz="0" w:space="0" w:color="auto" w:frame="1"/>
          <w:shd w:val="clear" w:color="auto" w:fill="FAFAFA"/>
        </w:rPr>
      </w:pPr>
    </w:p>
    <w:p w:rsidR="006C4701" w:rsidRPr="008B17D3" w:rsidRDefault="006C4701" w:rsidP="006C4701">
      <w:pPr>
        <w:jc w:val="both"/>
        <w:rPr>
          <w:b/>
        </w:rPr>
      </w:pPr>
      <w:r w:rsidRPr="008B17D3">
        <w:rPr>
          <w:b/>
        </w:rPr>
        <w:t xml:space="preserve">4. ESPECIFICAÇÕES, QUANTIDADES ESTIMADAS E CUSTOS </w:t>
      </w:r>
      <w:proofErr w:type="gramStart"/>
      <w:r w:rsidRPr="008B17D3">
        <w:rPr>
          <w:b/>
        </w:rPr>
        <w:t>ESTIMADOS</w:t>
      </w:r>
      <w:proofErr w:type="gramEnd"/>
      <w:r w:rsidRPr="008B17D3">
        <w:rPr>
          <w:b/>
        </w:rPr>
        <w:t xml:space="preserve"> </w:t>
      </w:r>
    </w:p>
    <w:p w:rsidR="006C4701" w:rsidRPr="008B17D3" w:rsidRDefault="006C4701" w:rsidP="006C4701">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6C4701" w:rsidRPr="008B17D3" w:rsidRDefault="006C4701" w:rsidP="006C4701">
      <w:pPr>
        <w:jc w:val="both"/>
      </w:pPr>
      <w:r w:rsidRPr="008B17D3">
        <w:rPr>
          <w:b/>
        </w:rPr>
        <w:t>4.2.</w:t>
      </w:r>
      <w:r w:rsidRPr="008B17D3">
        <w:t xml:space="preserve"> O custo estimado </w:t>
      </w:r>
      <w:r>
        <w:t xml:space="preserve">para </w:t>
      </w:r>
      <w:r w:rsidRPr="002A7AC7">
        <w:rPr>
          <w:b/>
        </w:rPr>
        <w:t xml:space="preserve">eventual </w:t>
      </w:r>
      <w:r w:rsidRPr="00F368F9">
        <w:rPr>
          <w:b/>
        </w:rPr>
        <w:t xml:space="preserve">fornecimento de </w:t>
      </w:r>
      <w:r>
        <w:rPr>
          <w:b/>
        </w:rPr>
        <w:t>fraldas descartáveis infantil, juvenil, adulto e toalhas umedecidas</w:t>
      </w:r>
      <w:r w:rsidRPr="008B17D3">
        <w:t xml:space="preserve"> </w:t>
      </w:r>
      <w:proofErr w:type="gramStart"/>
      <w:r w:rsidRPr="008B17D3">
        <w:t>foram calculados</w:t>
      </w:r>
      <w:proofErr w:type="gramEnd"/>
      <w:r w:rsidRPr="008B17D3">
        <w:t xml:space="preserve"> com base em cotação média obtida perante empresas do ramo da atividade. </w:t>
      </w:r>
    </w:p>
    <w:p w:rsidR="006C4701" w:rsidRPr="008B17D3" w:rsidRDefault="006C4701" w:rsidP="006C4701">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6C4701" w:rsidRPr="008B17D3" w:rsidRDefault="006C4701" w:rsidP="006C4701">
      <w:pPr>
        <w:jc w:val="both"/>
        <w:rPr>
          <w:b/>
        </w:rPr>
      </w:pPr>
    </w:p>
    <w:tbl>
      <w:tblPr>
        <w:tblW w:w="98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7"/>
        <w:gridCol w:w="990"/>
        <w:gridCol w:w="1436"/>
        <w:gridCol w:w="1208"/>
        <w:gridCol w:w="3362"/>
        <w:gridCol w:w="1077"/>
        <w:gridCol w:w="1100"/>
      </w:tblGrid>
      <w:tr w:rsidR="00F71DBF" w:rsidTr="00F71DBF">
        <w:trPr>
          <w:trHeight w:val="450"/>
        </w:trPr>
        <w:tc>
          <w:tcPr>
            <w:tcW w:w="724" w:type="dxa"/>
            <w:shd w:val="clear" w:color="auto" w:fill="auto"/>
            <w:noWrap/>
            <w:vAlign w:val="center"/>
            <w:hideMark/>
          </w:tcPr>
          <w:p w:rsidR="00F71DBF" w:rsidRPr="00F71DBF" w:rsidRDefault="00F71DBF" w:rsidP="00F71DBF">
            <w:pPr>
              <w:jc w:val="center"/>
              <w:rPr>
                <w:b/>
              </w:rPr>
            </w:pPr>
            <w:r w:rsidRPr="00F71DBF">
              <w:rPr>
                <w:b/>
                <w:sz w:val="22"/>
                <w:szCs w:val="22"/>
              </w:rPr>
              <w:t>ITEM</w:t>
            </w:r>
          </w:p>
        </w:tc>
        <w:tc>
          <w:tcPr>
            <w:tcW w:w="989" w:type="dxa"/>
            <w:shd w:val="clear" w:color="auto" w:fill="auto"/>
            <w:noWrap/>
            <w:vAlign w:val="center"/>
            <w:hideMark/>
          </w:tcPr>
          <w:p w:rsidR="00F71DBF" w:rsidRPr="00F71DBF" w:rsidRDefault="00F71DBF" w:rsidP="00F71DBF">
            <w:pPr>
              <w:jc w:val="center"/>
              <w:rPr>
                <w:b/>
              </w:rPr>
            </w:pPr>
            <w:r w:rsidRPr="00F71DBF">
              <w:rPr>
                <w:b/>
                <w:sz w:val="22"/>
                <w:szCs w:val="22"/>
              </w:rPr>
              <w:t>QUANT.</w:t>
            </w:r>
          </w:p>
        </w:tc>
        <w:tc>
          <w:tcPr>
            <w:tcW w:w="1387" w:type="dxa"/>
            <w:vAlign w:val="center"/>
          </w:tcPr>
          <w:p w:rsidR="00F71DBF" w:rsidRPr="00F71DBF" w:rsidRDefault="00F71DBF" w:rsidP="00F71DBF">
            <w:pPr>
              <w:jc w:val="center"/>
              <w:rPr>
                <w:b/>
              </w:rPr>
            </w:pPr>
            <w:r w:rsidRPr="00F71DBF">
              <w:rPr>
                <w:b/>
                <w:sz w:val="22"/>
                <w:szCs w:val="22"/>
              </w:rPr>
              <w:t xml:space="preserve">QUANT. MINIMA SER </w:t>
            </w:r>
            <w:proofErr w:type="gramStart"/>
            <w:r w:rsidRPr="00F71DBF">
              <w:rPr>
                <w:b/>
                <w:sz w:val="22"/>
                <w:szCs w:val="22"/>
              </w:rPr>
              <w:t>ADQUIRIDA</w:t>
            </w:r>
            <w:proofErr w:type="gramEnd"/>
          </w:p>
        </w:tc>
        <w:tc>
          <w:tcPr>
            <w:tcW w:w="1208" w:type="dxa"/>
            <w:shd w:val="clear" w:color="auto" w:fill="auto"/>
            <w:noWrap/>
            <w:vAlign w:val="center"/>
            <w:hideMark/>
          </w:tcPr>
          <w:p w:rsidR="00F71DBF" w:rsidRPr="00F71DBF" w:rsidRDefault="00F71DBF" w:rsidP="00F71DBF">
            <w:pPr>
              <w:jc w:val="center"/>
              <w:rPr>
                <w:b/>
              </w:rPr>
            </w:pPr>
            <w:r w:rsidRPr="00F71DBF">
              <w:rPr>
                <w:b/>
                <w:sz w:val="22"/>
                <w:szCs w:val="22"/>
              </w:rPr>
              <w:t>UND</w:t>
            </w:r>
          </w:p>
        </w:tc>
        <w:tc>
          <w:tcPr>
            <w:tcW w:w="3362" w:type="dxa"/>
            <w:shd w:val="clear" w:color="auto" w:fill="auto"/>
            <w:noWrap/>
            <w:vAlign w:val="center"/>
            <w:hideMark/>
          </w:tcPr>
          <w:p w:rsidR="00F71DBF" w:rsidRPr="00F71DBF" w:rsidRDefault="00F71DBF" w:rsidP="00F71DBF">
            <w:pPr>
              <w:jc w:val="center"/>
              <w:rPr>
                <w:b/>
              </w:rPr>
            </w:pPr>
            <w:r w:rsidRPr="00F71DBF">
              <w:rPr>
                <w:b/>
                <w:sz w:val="22"/>
                <w:szCs w:val="22"/>
              </w:rPr>
              <w:t>DESCRIÇÃO</w:t>
            </w:r>
          </w:p>
        </w:tc>
        <w:tc>
          <w:tcPr>
            <w:tcW w:w="1077" w:type="dxa"/>
            <w:shd w:val="clear" w:color="auto" w:fill="auto"/>
            <w:noWrap/>
            <w:vAlign w:val="center"/>
            <w:hideMark/>
          </w:tcPr>
          <w:p w:rsidR="00F71DBF" w:rsidRPr="00F71DBF" w:rsidRDefault="00F71DBF" w:rsidP="00F71DBF">
            <w:pPr>
              <w:jc w:val="center"/>
              <w:rPr>
                <w:b/>
                <w:color w:val="000000"/>
              </w:rPr>
            </w:pPr>
            <w:r w:rsidRPr="00F71DBF">
              <w:rPr>
                <w:b/>
                <w:color w:val="000000"/>
                <w:sz w:val="22"/>
                <w:szCs w:val="22"/>
              </w:rPr>
              <w:t>UNIT.</w:t>
            </w:r>
          </w:p>
        </w:tc>
        <w:tc>
          <w:tcPr>
            <w:tcW w:w="1100" w:type="dxa"/>
            <w:shd w:val="clear" w:color="auto" w:fill="auto"/>
            <w:noWrap/>
            <w:vAlign w:val="center"/>
            <w:hideMark/>
          </w:tcPr>
          <w:p w:rsidR="00F71DBF" w:rsidRPr="00F71DBF" w:rsidRDefault="00F71DBF" w:rsidP="00F71DBF">
            <w:pPr>
              <w:jc w:val="center"/>
              <w:rPr>
                <w:b/>
                <w:color w:val="000000"/>
              </w:rPr>
            </w:pPr>
            <w:r w:rsidRPr="00F71DBF">
              <w:rPr>
                <w:b/>
                <w:color w:val="000000"/>
                <w:sz w:val="22"/>
                <w:szCs w:val="22"/>
              </w:rPr>
              <w:t>TOTAL</w:t>
            </w:r>
          </w:p>
        </w:tc>
      </w:tr>
      <w:tr w:rsidR="00F71DBF" w:rsidTr="00F71DBF">
        <w:trPr>
          <w:trHeight w:val="1890"/>
        </w:trPr>
        <w:tc>
          <w:tcPr>
            <w:tcW w:w="724" w:type="dxa"/>
            <w:shd w:val="clear" w:color="auto" w:fill="auto"/>
            <w:noWrap/>
            <w:vAlign w:val="center"/>
            <w:hideMark/>
          </w:tcPr>
          <w:p w:rsidR="00F71DBF" w:rsidRDefault="00F71DBF" w:rsidP="00F71DBF">
            <w:pPr>
              <w:jc w:val="center"/>
              <w:rPr>
                <w:color w:val="000000"/>
              </w:rPr>
            </w:pPr>
            <w:r>
              <w:rPr>
                <w:color w:val="000000"/>
              </w:rPr>
              <w:t>001</w:t>
            </w:r>
          </w:p>
        </w:tc>
        <w:tc>
          <w:tcPr>
            <w:tcW w:w="989" w:type="dxa"/>
            <w:shd w:val="clear" w:color="auto" w:fill="auto"/>
            <w:vAlign w:val="center"/>
            <w:hideMark/>
          </w:tcPr>
          <w:p w:rsidR="00F71DBF" w:rsidRDefault="00F71DBF" w:rsidP="00F71DBF">
            <w:pPr>
              <w:jc w:val="center"/>
            </w:pPr>
            <w:r>
              <w:t>100</w:t>
            </w:r>
          </w:p>
        </w:tc>
        <w:tc>
          <w:tcPr>
            <w:tcW w:w="1387" w:type="dxa"/>
            <w:vAlign w:val="center"/>
          </w:tcPr>
          <w:p w:rsidR="00F71DBF" w:rsidRDefault="00F71DBF" w:rsidP="00F71DBF">
            <w:pPr>
              <w:jc w:val="center"/>
            </w:pPr>
            <w:proofErr w:type="gramStart"/>
            <w:r>
              <w:rPr>
                <w:sz w:val="22"/>
                <w:szCs w:val="22"/>
              </w:rPr>
              <w:t>5</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36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descartável Infantil- TAM P</w:t>
            </w:r>
            <w:r>
              <w:t xml:space="preserve"> -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do  bebê e proteção por até 10 horas. Peso do bebe ate </w:t>
            </w:r>
            <w:proofErr w:type="gramStart"/>
            <w:r>
              <w:t>06kg</w:t>
            </w:r>
            <w:proofErr w:type="gramEnd"/>
            <w:r>
              <w:t>. REFERENCIA: FRALDA PERSONAL JUMBO.</w:t>
            </w:r>
          </w:p>
        </w:tc>
        <w:tc>
          <w:tcPr>
            <w:tcW w:w="1077" w:type="dxa"/>
            <w:shd w:val="clear" w:color="auto" w:fill="auto"/>
            <w:noWrap/>
            <w:vAlign w:val="center"/>
            <w:hideMark/>
          </w:tcPr>
          <w:p w:rsidR="00F71DBF" w:rsidRDefault="00F71DBF" w:rsidP="00F71DBF">
            <w:pPr>
              <w:jc w:val="center"/>
            </w:pPr>
            <w:r>
              <w:t>30,08</w:t>
            </w:r>
          </w:p>
        </w:tc>
        <w:tc>
          <w:tcPr>
            <w:tcW w:w="1100" w:type="dxa"/>
            <w:shd w:val="clear" w:color="auto" w:fill="auto"/>
            <w:noWrap/>
            <w:vAlign w:val="center"/>
            <w:hideMark/>
          </w:tcPr>
          <w:p w:rsidR="00F71DBF" w:rsidRDefault="00F71DBF" w:rsidP="00F71DBF">
            <w:pPr>
              <w:jc w:val="center"/>
            </w:pPr>
            <w:r>
              <w:t>3.008,00</w:t>
            </w:r>
          </w:p>
        </w:tc>
      </w:tr>
      <w:tr w:rsidR="00F71DBF" w:rsidTr="00F71DBF">
        <w:trPr>
          <w:trHeight w:val="1129"/>
        </w:trPr>
        <w:tc>
          <w:tcPr>
            <w:tcW w:w="724" w:type="dxa"/>
            <w:shd w:val="clear" w:color="auto" w:fill="auto"/>
            <w:noWrap/>
            <w:vAlign w:val="center"/>
            <w:hideMark/>
          </w:tcPr>
          <w:p w:rsidR="00F71DBF" w:rsidRDefault="00F71DBF" w:rsidP="00F71DBF">
            <w:pPr>
              <w:jc w:val="center"/>
              <w:rPr>
                <w:color w:val="000000"/>
              </w:rPr>
            </w:pPr>
            <w:r>
              <w:rPr>
                <w:color w:val="000000"/>
              </w:rPr>
              <w:t>002</w:t>
            </w:r>
          </w:p>
        </w:tc>
        <w:tc>
          <w:tcPr>
            <w:tcW w:w="989" w:type="dxa"/>
            <w:shd w:val="clear" w:color="auto" w:fill="auto"/>
            <w:vAlign w:val="center"/>
            <w:hideMark/>
          </w:tcPr>
          <w:p w:rsidR="00F71DBF" w:rsidRDefault="00F71DBF" w:rsidP="00F71DBF">
            <w:pPr>
              <w:jc w:val="center"/>
            </w:pPr>
            <w:r>
              <w:t>130</w:t>
            </w:r>
          </w:p>
        </w:tc>
        <w:tc>
          <w:tcPr>
            <w:tcW w:w="1387" w:type="dxa"/>
            <w:vAlign w:val="center"/>
          </w:tcPr>
          <w:p w:rsidR="00F71DBF" w:rsidRDefault="00F71DBF" w:rsidP="00F71DBF">
            <w:pPr>
              <w:jc w:val="center"/>
            </w:pPr>
            <w:proofErr w:type="gramStart"/>
            <w:r>
              <w:rPr>
                <w:sz w:val="22"/>
                <w:szCs w:val="22"/>
              </w:rPr>
              <w:t>7</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32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descartável Infantil- TAM M </w:t>
            </w:r>
            <w:r>
              <w:t>-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w:t>
            </w:r>
            <w:r>
              <w:lastRenderedPageBreak/>
              <w:t xml:space="preserve">do  bebê e proteção por até 10 horas. Peso do bebe de </w:t>
            </w:r>
            <w:proofErr w:type="gramStart"/>
            <w:r>
              <w:t>5</w:t>
            </w:r>
            <w:proofErr w:type="gramEnd"/>
            <w:r>
              <w:t xml:space="preserve"> a 9,5 kg. REFERENCIA: FRALDA PERSONAL JUMBO.</w:t>
            </w:r>
          </w:p>
        </w:tc>
        <w:tc>
          <w:tcPr>
            <w:tcW w:w="1077" w:type="dxa"/>
            <w:shd w:val="clear" w:color="auto" w:fill="auto"/>
            <w:noWrap/>
            <w:vAlign w:val="center"/>
            <w:hideMark/>
          </w:tcPr>
          <w:p w:rsidR="00F71DBF" w:rsidRDefault="00F71DBF" w:rsidP="00F71DBF">
            <w:pPr>
              <w:jc w:val="center"/>
            </w:pPr>
            <w:r>
              <w:lastRenderedPageBreak/>
              <w:t>30,08</w:t>
            </w:r>
          </w:p>
        </w:tc>
        <w:tc>
          <w:tcPr>
            <w:tcW w:w="1100" w:type="dxa"/>
            <w:shd w:val="clear" w:color="auto" w:fill="auto"/>
            <w:noWrap/>
            <w:vAlign w:val="center"/>
            <w:hideMark/>
          </w:tcPr>
          <w:p w:rsidR="00F71DBF" w:rsidRDefault="00F71DBF" w:rsidP="00F71DBF">
            <w:pPr>
              <w:jc w:val="center"/>
            </w:pPr>
            <w:r>
              <w:t>3.910,40</w:t>
            </w:r>
          </w:p>
        </w:tc>
      </w:tr>
      <w:tr w:rsidR="00F71DBF" w:rsidTr="00F71DBF">
        <w:trPr>
          <w:trHeight w:val="1890"/>
        </w:trPr>
        <w:tc>
          <w:tcPr>
            <w:tcW w:w="724" w:type="dxa"/>
            <w:shd w:val="clear" w:color="auto" w:fill="auto"/>
            <w:noWrap/>
            <w:vAlign w:val="center"/>
            <w:hideMark/>
          </w:tcPr>
          <w:p w:rsidR="00F71DBF" w:rsidRDefault="00F71DBF" w:rsidP="00F71DBF">
            <w:pPr>
              <w:jc w:val="center"/>
              <w:rPr>
                <w:color w:val="000000"/>
              </w:rPr>
            </w:pPr>
            <w:r>
              <w:rPr>
                <w:color w:val="000000"/>
              </w:rPr>
              <w:lastRenderedPageBreak/>
              <w:t>003</w:t>
            </w:r>
          </w:p>
        </w:tc>
        <w:tc>
          <w:tcPr>
            <w:tcW w:w="989" w:type="dxa"/>
            <w:shd w:val="clear" w:color="auto" w:fill="auto"/>
            <w:vAlign w:val="center"/>
            <w:hideMark/>
          </w:tcPr>
          <w:p w:rsidR="00F71DBF" w:rsidRDefault="00F71DBF" w:rsidP="00F71DBF">
            <w:pPr>
              <w:jc w:val="center"/>
            </w:pPr>
            <w:r>
              <w:t>190</w:t>
            </w:r>
          </w:p>
        </w:tc>
        <w:tc>
          <w:tcPr>
            <w:tcW w:w="1387" w:type="dxa"/>
            <w:vAlign w:val="center"/>
          </w:tcPr>
          <w:p w:rsidR="00F71DBF" w:rsidRDefault="00F71DBF" w:rsidP="00F71DBF">
            <w:pPr>
              <w:jc w:val="center"/>
            </w:pPr>
            <w:r>
              <w:rPr>
                <w:sz w:val="22"/>
                <w:szCs w:val="22"/>
              </w:rPr>
              <w:t>10</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28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descartável Infantil- TAM G</w:t>
            </w:r>
            <w:r>
              <w:t xml:space="preserve">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do  bebê e proteção por até 10 horas. Peso do bebe de </w:t>
            </w:r>
            <w:proofErr w:type="gramStart"/>
            <w:r>
              <w:t>8</w:t>
            </w:r>
            <w:proofErr w:type="gramEnd"/>
            <w:r>
              <w:t xml:space="preserve"> a 12,5 kg. REFERENCIA: FRALDA PERSONAL JUMBO.</w:t>
            </w:r>
          </w:p>
        </w:tc>
        <w:tc>
          <w:tcPr>
            <w:tcW w:w="1077" w:type="dxa"/>
            <w:shd w:val="clear" w:color="auto" w:fill="auto"/>
            <w:noWrap/>
            <w:vAlign w:val="center"/>
            <w:hideMark/>
          </w:tcPr>
          <w:p w:rsidR="00F71DBF" w:rsidRDefault="00F71DBF" w:rsidP="00F71DBF">
            <w:pPr>
              <w:jc w:val="center"/>
            </w:pPr>
            <w:r>
              <w:t>30,08</w:t>
            </w:r>
          </w:p>
        </w:tc>
        <w:tc>
          <w:tcPr>
            <w:tcW w:w="1100" w:type="dxa"/>
            <w:shd w:val="clear" w:color="auto" w:fill="auto"/>
            <w:noWrap/>
            <w:vAlign w:val="center"/>
            <w:hideMark/>
          </w:tcPr>
          <w:p w:rsidR="00F71DBF" w:rsidRDefault="00F71DBF" w:rsidP="00F71DBF">
            <w:pPr>
              <w:jc w:val="center"/>
            </w:pPr>
            <w:r>
              <w:t>5.715,20</w:t>
            </w:r>
          </w:p>
        </w:tc>
      </w:tr>
      <w:tr w:rsidR="00F71DBF" w:rsidTr="00F71DBF">
        <w:trPr>
          <w:trHeight w:val="1890"/>
        </w:trPr>
        <w:tc>
          <w:tcPr>
            <w:tcW w:w="724" w:type="dxa"/>
            <w:shd w:val="clear" w:color="auto" w:fill="auto"/>
            <w:noWrap/>
            <w:vAlign w:val="center"/>
            <w:hideMark/>
          </w:tcPr>
          <w:p w:rsidR="00F71DBF" w:rsidRDefault="00F71DBF" w:rsidP="00F71DBF">
            <w:pPr>
              <w:jc w:val="center"/>
              <w:rPr>
                <w:color w:val="000000"/>
              </w:rPr>
            </w:pPr>
            <w:r>
              <w:rPr>
                <w:color w:val="000000"/>
              </w:rPr>
              <w:t>004</w:t>
            </w:r>
          </w:p>
        </w:tc>
        <w:tc>
          <w:tcPr>
            <w:tcW w:w="989" w:type="dxa"/>
            <w:shd w:val="clear" w:color="auto" w:fill="auto"/>
            <w:vAlign w:val="center"/>
            <w:hideMark/>
          </w:tcPr>
          <w:p w:rsidR="00F71DBF" w:rsidRDefault="00F71DBF" w:rsidP="00F71DBF">
            <w:pPr>
              <w:jc w:val="center"/>
            </w:pPr>
            <w:r>
              <w:t>120</w:t>
            </w:r>
          </w:p>
        </w:tc>
        <w:tc>
          <w:tcPr>
            <w:tcW w:w="1387" w:type="dxa"/>
            <w:vAlign w:val="center"/>
          </w:tcPr>
          <w:p w:rsidR="00F71DBF" w:rsidRDefault="00F71DBF" w:rsidP="00F71DBF">
            <w:pPr>
              <w:jc w:val="center"/>
            </w:pPr>
            <w:proofErr w:type="gramStart"/>
            <w:r>
              <w:rPr>
                <w:sz w:val="22"/>
                <w:szCs w:val="22"/>
              </w:rPr>
              <w:t>6</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24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descartável Infantil- TAM XG </w:t>
            </w:r>
            <w:r>
              <w:t>- COMPOSIÇÃO: com camada externa respirável,</w:t>
            </w:r>
            <w:proofErr w:type="gramStart"/>
            <w:r>
              <w:t xml:space="preserve">  </w:t>
            </w:r>
            <w:proofErr w:type="gramEnd"/>
            <w:r>
              <w:t>fecho abre e fecha, com 4 camadas de absorção que permitem uma rápida distribuição e absorção do xixi, mantendo-o longe da pele do  bebê e proteção por até 10 horas. Peso do bebe, acima de 12 kg. REFERENCIA: FRALDA PERSONAL JUMBO.</w:t>
            </w:r>
          </w:p>
        </w:tc>
        <w:tc>
          <w:tcPr>
            <w:tcW w:w="1077" w:type="dxa"/>
            <w:shd w:val="clear" w:color="auto" w:fill="auto"/>
            <w:noWrap/>
            <w:vAlign w:val="center"/>
            <w:hideMark/>
          </w:tcPr>
          <w:p w:rsidR="00F71DBF" w:rsidRDefault="00F71DBF" w:rsidP="00F71DBF">
            <w:pPr>
              <w:jc w:val="center"/>
            </w:pPr>
            <w:r>
              <w:t>30,08</w:t>
            </w:r>
          </w:p>
        </w:tc>
        <w:tc>
          <w:tcPr>
            <w:tcW w:w="1100" w:type="dxa"/>
            <w:shd w:val="clear" w:color="auto" w:fill="auto"/>
            <w:noWrap/>
            <w:vAlign w:val="center"/>
            <w:hideMark/>
          </w:tcPr>
          <w:p w:rsidR="00F71DBF" w:rsidRDefault="00F71DBF" w:rsidP="00F71DBF">
            <w:pPr>
              <w:jc w:val="center"/>
            </w:pPr>
            <w:r>
              <w:t>3.609,60</w:t>
            </w:r>
          </w:p>
        </w:tc>
      </w:tr>
      <w:tr w:rsidR="00F71DBF" w:rsidTr="00F71DBF">
        <w:trPr>
          <w:trHeight w:val="2205"/>
        </w:trPr>
        <w:tc>
          <w:tcPr>
            <w:tcW w:w="724" w:type="dxa"/>
            <w:shd w:val="clear" w:color="auto" w:fill="auto"/>
            <w:noWrap/>
            <w:vAlign w:val="center"/>
            <w:hideMark/>
          </w:tcPr>
          <w:p w:rsidR="00F71DBF" w:rsidRDefault="00F71DBF" w:rsidP="00F71DBF">
            <w:pPr>
              <w:jc w:val="center"/>
              <w:rPr>
                <w:color w:val="000000"/>
              </w:rPr>
            </w:pPr>
            <w:r>
              <w:rPr>
                <w:color w:val="000000"/>
              </w:rPr>
              <w:t>005</w:t>
            </w:r>
          </w:p>
        </w:tc>
        <w:tc>
          <w:tcPr>
            <w:tcW w:w="989" w:type="dxa"/>
            <w:shd w:val="clear" w:color="auto" w:fill="auto"/>
            <w:vAlign w:val="center"/>
            <w:hideMark/>
          </w:tcPr>
          <w:p w:rsidR="00F71DBF" w:rsidRDefault="00F71DBF" w:rsidP="00F71DBF">
            <w:pPr>
              <w:jc w:val="center"/>
            </w:pPr>
            <w:r>
              <w:t>236</w:t>
            </w:r>
          </w:p>
        </w:tc>
        <w:tc>
          <w:tcPr>
            <w:tcW w:w="1387" w:type="dxa"/>
            <w:vAlign w:val="center"/>
          </w:tcPr>
          <w:p w:rsidR="00F71DBF" w:rsidRDefault="00F71DBF" w:rsidP="00F71DBF">
            <w:pPr>
              <w:jc w:val="center"/>
            </w:pPr>
            <w:r>
              <w:rPr>
                <w:sz w:val="22"/>
                <w:szCs w:val="22"/>
              </w:rPr>
              <w:t>12</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11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JUVENIL - Diurna                                                     </w:t>
            </w:r>
            <w:r>
              <w:t xml:space="preserve">Composta por gel superabsorvente, difusor de líquidos, barreiras antivazamento aliados a seu formato anatômico, indicador de umidade e </w:t>
            </w:r>
            <w:proofErr w:type="spellStart"/>
            <w:r>
              <w:t>aloe</w:t>
            </w:r>
            <w:proofErr w:type="spellEnd"/>
            <w:r>
              <w:t xml:space="preserve"> vera, hipoalergênico e dermatologicamente testado, contando fitas adesivas reposicionáveis que garantem o ajuste perfeito ao corpo. Unissex, peso 30 a 40 kg </w:t>
            </w:r>
            <w:r>
              <w:rPr>
                <w:b/>
                <w:bCs/>
              </w:rPr>
              <w:t xml:space="preserve">Referencia: BIGFRAL </w:t>
            </w:r>
            <w:proofErr w:type="gramStart"/>
            <w:r>
              <w:rPr>
                <w:b/>
                <w:bCs/>
              </w:rPr>
              <w:t>PLUS</w:t>
            </w:r>
            <w:proofErr w:type="gramEnd"/>
          </w:p>
        </w:tc>
        <w:tc>
          <w:tcPr>
            <w:tcW w:w="1077" w:type="dxa"/>
            <w:shd w:val="clear" w:color="auto" w:fill="auto"/>
            <w:noWrap/>
            <w:vAlign w:val="center"/>
            <w:hideMark/>
          </w:tcPr>
          <w:p w:rsidR="00F71DBF" w:rsidRDefault="00F71DBF" w:rsidP="00F71DBF">
            <w:pPr>
              <w:jc w:val="center"/>
            </w:pPr>
            <w:r>
              <w:t>34,53</w:t>
            </w:r>
          </w:p>
        </w:tc>
        <w:tc>
          <w:tcPr>
            <w:tcW w:w="1100" w:type="dxa"/>
            <w:shd w:val="clear" w:color="auto" w:fill="auto"/>
            <w:noWrap/>
            <w:vAlign w:val="center"/>
            <w:hideMark/>
          </w:tcPr>
          <w:p w:rsidR="00F71DBF" w:rsidRDefault="00F71DBF" w:rsidP="00F71DBF">
            <w:pPr>
              <w:jc w:val="center"/>
            </w:pPr>
            <w:r>
              <w:t>8.149,08</w:t>
            </w:r>
          </w:p>
        </w:tc>
      </w:tr>
      <w:tr w:rsidR="00F71DBF" w:rsidTr="00F71DBF">
        <w:trPr>
          <w:trHeight w:val="1691"/>
        </w:trPr>
        <w:tc>
          <w:tcPr>
            <w:tcW w:w="724" w:type="dxa"/>
            <w:shd w:val="clear" w:color="auto" w:fill="auto"/>
            <w:noWrap/>
            <w:vAlign w:val="center"/>
            <w:hideMark/>
          </w:tcPr>
          <w:p w:rsidR="00F71DBF" w:rsidRDefault="00F71DBF" w:rsidP="00F71DBF">
            <w:pPr>
              <w:jc w:val="center"/>
              <w:rPr>
                <w:color w:val="000000"/>
              </w:rPr>
            </w:pPr>
            <w:r>
              <w:rPr>
                <w:color w:val="000000"/>
              </w:rPr>
              <w:t>006</w:t>
            </w:r>
          </w:p>
        </w:tc>
        <w:tc>
          <w:tcPr>
            <w:tcW w:w="989" w:type="dxa"/>
            <w:shd w:val="clear" w:color="auto" w:fill="auto"/>
            <w:noWrap/>
            <w:vAlign w:val="center"/>
            <w:hideMark/>
          </w:tcPr>
          <w:p w:rsidR="00F71DBF" w:rsidRDefault="00F71DBF" w:rsidP="00F71DBF">
            <w:pPr>
              <w:jc w:val="center"/>
              <w:rPr>
                <w:color w:val="000000"/>
              </w:rPr>
            </w:pPr>
            <w:r>
              <w:rPr>
                <w:color w:val="000000"/>
              </w:rPr>
              <w:t>110</w:t>
            </w:r>
          </w:p>
        </w:tc>
        <w:tc>
          <w:tcPr>
            <w:tcW w:w="1387" w:type="dxa"/>
            <w:vAlign w:val="center"/>
          </w:tcPr>
          <w:p w:rsidR="00F71DBF" w:rsidRDefault="00F71DBF" w:rsidP="00F71DBF">
            <w:pPr>
              <w:jc w:val="center"/>
            </w:pPr>
            <w:proofErr w:type="gramStart"/>
            <w:r>
              <w:rPr>
                <w:sz w:val="22"/>
                <w:szCs w:val="22"/>
              </w:rPr>
              <w:t>6</w:t>
            </w:r>
            <w:proofErr w:type="gramEnd"/>
          </w:p>
        </w:tc>
        <w:tc>
          <w:tcPr>
            <w:tcW w:w="1208" w:type="dxa"/>
            <w:shd w:val="clear" w:color="000000" w:fill="FFFFFF"/>
            <w:vAlign w:val="center"/>
            <w:hideMark/>
          </w:tcPr>
          <w:p w:rsidR="00F71DBF" w:rsidRDefault="00F71DBF" w:rsidP="00F71DBF">
            <w:pPr>
              <w:jc w:val="center"/>
              <w:rPr>
                <w:color w:val="000000"/>
              </w:rPr>
            </w:pPr>
            <w:proofErr w:type="spellStart"/>
            <w:proofErr w:type="gramStart"/>
            <w:r>
              <w:rPr>
                <w:color w:val="000000"/>
              </w:rPr>
              <w:t>pct</w:t>
            </w:r>
            <w:proofErr w:type="spellEnd"/>
            <w:proofErr w:type="gramEnd"/>
            <w:r>
              <w:rPr>
                <w:color w:val="000000"/>
              </w:rPr>
              <w:t xml:space="preserve"> c/ 10 </w:t>
            </w:r>
            <w:proofErr w:type="spellStart"/>
            <w:r>
              <w:rPr>
                <w:color w:val="000000"/>
              </w:rP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"P" - Diurna                                                     </w:t>
            </w:r>
            <w:r>
              <w:t xml:space="preserve">Composta por gel superabsorvente, difusor de líquidos, barreiras antivazamento aliados a seu formato anatômico, indicador de umidade e </w:t>
            </w:r>
            <w:proofErr w:type="spellStart"/>
            <w:r>
              <w:t>aloe</w:t>
            </w:r>
            <w:proofErr w:type="spellEnd"/>
            <w:r>
              <w:t xml:space="preserve"> vera, hipoalergênico e dermatologicamente testado, contando fitas adesivas reposicionáveis que garantem o ajuste perfeito ao corpo. Unissex, peso 30 a 40 kg. </w:t>
            </w:r>
            <w:r>
              <w:rPr>
                <w:b/>
                <w:bCs/>
              </w:rPr>
              <w:t xml:space="preserve">Referencia: BIGFRAL </w:t>
            </w:r>
            <w:proofErr w:type="gramStart"/>
            <w:r>
              <w:rPr>
                <w:b/>
                <w:bCs/>
              </w:rPr>
              <w:t>PLUS</w:t>
            </w:r>
            <w:proofErr w:type="gramEnd"/>
          </w:p>
        </w:tc>
        <w:tc>
          <w:tcPr>
            <w:tcW w:w="1077" w:type="dxa"/>
            <w:shd w:val="clear" w:color="auto" w:fill="auto"/>
            <w:noWrap/>
            <w:vAlign w:val="center"/>
            <w:hideMark/>
          </w:tcPr>
          <w:p w:rsidR="00F71DBF" w:rsidRDefault="00F71DBF" w:rsidP="00F71DBF">
            <w:pPr>
              <w:jc w:val="center"/>
            </w:pPr>
            <w:r>
              <w:t>32,78</w:t>
            </w:r>
          </w:p>
        </w:tc>
        <w:tc>
          <w:tcPr>
            <w:tcW w:w="1100" w:type="dxa"/>
            <w:shd w:val="clear" w:color="auto" w:fill="auto"/>
            <w:noWrap/>
            <w:vAlign w:val="center"/>
            <w:hideMark/>
          </w:tcPr>
          <w:p w:rsidR="00F71DBF" w:rsidRDefault="00F71DBF" w:rsidP="00F71DBF">
            <w:pPr>
              <w:jc w:val="center"/>
            </w:pPr>
            <w:r>
              <w:t>3.605,80</w:t>
            </w:r>
          </w:p>
        </w:tc>
      </w:tr>
      <w:tr w:rsidR="00F71DBF" w:rsidTr="00F71DBF">
        <w:trPr>
          <w:trHeight w:val="2205"/>
        </w:trPr>
        <w:tc>
          <w:tcPr>
            <w:tcW w:w="724" w:type="dxa"/>
            <w:shd w:val="clear" w:color="auto" w:fill="auto"/>
            <w:noWrap/>
            <w:vAlign w:val="center"/>
            <w:hideMark/>
          </w:tcPr>
          <w:p w:rsidR="00F71DBF" w:rsidRDefault="00F71DBF" w:rsidP="00F71DBF">
            <w:pPr>
              <w:jc w:val="center"/>
              <w:rPr>
                <w:color w:val="000000"/>
              </w:rPr>
            </w:pPr>
            <w:r>
              <w:rPr>
                <w:color w:val="000000"/>
              </w:rPr>
              <w:lastRenderedPageBreak/>
              <w:t>007</w:t>
            </w:r>
          </w:p>
        </w:tc>
        <w:tc>
          <w:tcPr>
            <w:tcW w:w="989" w:type="dxa"/>
            <w:shd w:val="clear" w:color="auto" w:fill="auto"/>
            <w:noWrap/>
            <w:vAlign w:val="center"/>
            <w:hideMark/>
          </w:tcPr>
          <w:p w:rsidR="00F71DBF" w:rsidRDefault="00F71DBF" w:rsidP="00F71DBF">
            <w:pPr>
              <w:jc w:val="center"/>
              <w:rPr>
                <w:color w:val="000000"/>
              </w:rPr>
            </w:pPr>
            <w:r>
              <w:rPr>
                <w:color w:val="000000"/>
              </w:rPr>
              <w:t>120</w:t>
            </w:r>
          </w:p>
        </w:tc>
        <w:tc>
          <w:tcPr>
            <w:tcW w:w="1387" w:type="dxa"/>
            <w:vAlign w:val="center"/>
          </w:tcPr>
          <w:p w:rsidR="00F71DBF" w:rsidRDefault="00F71DBF" w:rsidP="00F71DBF">
            <w:pPr>
              <w:jc w:val="center"/>
            </w:pPr>
            <w:proofErr w:type="gramStart"/>
            <w:r>
              <w:rPr>
                <w:sz w:val="22"/>
                <w:szCs w:val="22"/>
              </w:rPr>
              <w:t>6</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09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"M" - Diurna                                                     </w:t>
            </w:r>
            <w:r>
              <w:t xml:space="preserve">Composta por gel superabsorvente, difusor de líquidos, barreiras antivazamento aliados a seu formato anatômico, indicador de umidade e </w:t>
            </w:r>
            <w:proofErr w:type="spellStart"/>
            <w:r>
              <w:t>aloe</w:t>
            </w:r>
            <w:proofErr w:type="spellEnd"/>
            <w:r>
              <w:t xml:space="preserve"> vera, hipoalergênico e dermatologicamente testado, contando fitas adesivas reposicionáveis que garantem o ajuste perfeito ao corpo. Unissex, peso 40 a 70 kg. </w:t>
            </w:r>
            <w:r>
              <w:rPr>
                <w:b/>
                <w:bCs/>
              </w:rPr>
              <w:t xml:space="preserve">Referencia: BIGFRAL </w:t>
            </w:r>
            <w:proofErr w:type="gramStart"/>
            <w:r>
              <w:rPr>
                <w:b/>
                <w:bCs/>
              </w:rPr>
              <w:t>PLUS</w:t>
            </w:r>
            <w:proofErr w:type="gramEnd"/>
          </w:p>
        </w:tc>
        <w:tc>
          <w:tcPr>
            <w:tcW w:w="1077" w:type="dxa"/>
            <w:shd w:val="clear" w:color="auto" w:fill="auto"/>
            <w:noWrap/>
            <w:vAlign w:val="center"/>
            <w:hideMark/>
          </w:tcPr>
          <w:p w:rsidR="00F71DBF" w:rsidRDefault="00F71DBF" w:rsidP="00F71DBF">
            <w:pPr>
              <w:jc w:val="center"/>
            </w:pPr>
            <w:r>
              <w:t>34,03</w:t>
            </w:r>
          </w:p>
        </w:tc>
        <w:tc>
          <w:tcPr>
            <w:tcW w:w="1100" w:type="dxa"/>
            <w:shd w:val="clear" w:color="auto" w:fill="auto"/>
            <w:noWrap/>
            <w:vAlign w:val="center"/>
            <w:hideMark/>
          </w:tcPr>
          <w:p w:rsidR="00F71DBF" w:rsidRDefault="00F71DBF" w:rsidP="00F71DBF">
            <w:pPr>
              <w:jc w:val="center"/>
            </w:pPr>
            <w:r>
              <w:t>4.083,60</w:t>
            </w:r>
          </w:p>
        </w:tc>
      </w:tr>
      <w:tr w:rsidR="00F71DBF" w:rsidTr="00F71DBF">
        <w:trPr>
          <w:trHeight w:val="2205"/>
        </w:trPr>
        <w:tc>
          <w:tcPr>
            <w:tcW w:w="724" w:type="dxa"/>
            <w:shd w:val="clear" w:color="auto" w:fill="auto"/>
            <w:noWrap/>
            <w:vAlign w:val="center"/>
            <w:hideMark/>
          </w:tcPr>
          <w:p w:rsidR="00F71DBF" w:rsidRDefault="00F71DBF" w:rsidP="00F71DBF">
            <w:pPr>
              <w:jc w:val="center"/>
              <w:rPr>
                <w:color w:val="000000"/>
              </w:rPr>
            </w:pPr>
            <w:r>
              <w:rPr>
                <w:color w:val="000000"/>
              </w:rPr>
              <w:t>008</w:t>
            </w:r>
          </w:p>
        </w:tc>
        <w:tc>
          <w:tcPr>
            <w:tcW w:w="989" w:type="dxa"/>
            <w:shd w:val="clear" w:color="auto" w:fill="auto"/>
            <w:noWrap/>
            <w:vAlign w:val="center"/>
            <w:hideMark/>
          </w:tcPr>
          <w:p w:rsidR="00F71DBF" w:rsidRDefault="00F71DBF" w:rsidP="00F71DBF">
            <w:pPr>
              <w:jc w:val="center"/>
              <w:rPr>
                <w:color w:val="000000"/>
              </w:rPr>
            </w:pPr>
            <w:r>
              <w:rPr>
                <w:color w:val="000000"/>
              </w:rPr>
              <w:t>250</w:t>
            </w:r>
          </w:p>
        </w:tc>
        <w:tc>
          <w:tcPr>
            <w:tcW w:w="1387" w:type="dxa"/>
            <w:vAlign w:val="center"/>
          </w:tcPr>
          <w:p w:rsidR="00F71DBF" w:rsidRDefault="00F71DBF" w:rsidP="00F71DBF">
            <w:pPr>
              <w:jc w:val="center"/>
            </w:pPr>
            <w:r>
              <w:rPr>
                <w:sz w:val="22"/>
                <w:szCs w:val="22"/>
              </w:rPr>
              <w:t>13</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"G" - Diurna                                                              </w:t>
            </w:r>
            <w:r>
              <w:t xml:space="preserve">Composta por gel superabsorvente, difusor de líquidos, barreiras antivazamento aliados a seu formato anatômico, indicador de umidade e </w:t>
            </w:r>
            <w:proofErr w:type="spellStart"/>
            <w:r>
              <w:t>aloe</w:t>
            </w:r>
            <w:proofErr w:type="spellEnd"/>
            <w:r>
              <w:t xml:space="preserve"> vera, hipoalergênico e dermatologicamente testado, contando fitas adesivas reposicionáveis que garantem o ajuste perfeito ao corpo. Unissex, peso 70 a 90 kg </w:t>
            </w:r>
            <w:r>
              <w:rPr>
                <w:b/>
                <w:bCs/>
              </w:rPr>
              <w:t xml:space="preserve">Referencia: BIGFRAL </w:t>
            </w:r>
            <w:proofErr w:type="gramStart"/>
            <w:r>
              <w:rPr>
                <w:b/>
                <w:bCs/>
              </w:rPr>
              <w:t>PLUS</w:t>
            </w:r>
            <w:proofErr w:type="gramEnd"/>
          </w:p>
        </w:tc>
        <w:tc>
          <w:tcPr>
            <w:tcW w:w="1077" w:type="dxa"/>
            <w:shd w:val="clear" w:color="auto" w:fill="auto"/>
            <w:noWrap/>
            <w:vAlign w:val="center"/>
            <w:hideMark/>
          </w:tcPr>
          <w:p w:rsidR="00F71DBF" w:rsidRDefault="00F71DBF" w:rsidP="00F71DBF">
            <w:pPr>
              <w:jc w:val="center"/>
            </w:pPr>
            <w:r>
              <w:t>34,03</w:t>
            </w:r>
          </w:p>
        </w:tc>
        <w:tc>
          <w:tcPr>
            <w:tcW w:w="1100" w:type="dxa"/>
            <w:shd w:val="clear" w:color="auto" w:fill="auto"/>
            <w:noWrap/>
            <w:vAlign w:val="center"/>
            <w:hideMark/>
          </w:tcPr>
          <w:p w:rsidR="00F71DBF" w:rsidRDefault="00F71DBF" w:rsidP="00F71DBF">
            <w:pPr>
              <w:jc w:val="center"/>
            </w:pPr>
            <w:r>
              <w:t>8.507,50</w:t>
            </w:r>
          </w:p>
        </w:tc>
      </w:tr>
      <w:tr w:rsidR="00F71DBF" w:rsidTr="00F71DBF">
        <w:trPr>
          <w:trHeight w:val="4286"/>
        </w:trPr>
        <w:tc>
          <w:tcPr>
            <w:tcW w:w="724" w:type="dxa"/>
            <w:shd w:val="clear" w:color="auto" w:fill="auto"/>
            <w:noWrap/>
            <w:vAlign w:val="center"/>
            <w:hideMark/>
          </w:tcPr>
          <w:p w:rsidR="00F71DBF" w:rsidRDefault="00F71DBF" w:rsidP="00F71DBF">
            <w:pPr>
              <w:jc w:val="center"/>
              <w:rPr>
                <w:color w:val="000000"/>
              </w:rPr>
            </w:pPr>
            <w:r>
              <w:rPr>
                <w:color w:val="000000"/>
              </w:rPr>
              <w:t>009</w:t>
            </w:r>
          </w:p>
        </w:tc>
        <w:tc>
          <w:tcPr>
            <w:tcW w:w="989" w:type="dxa"/>
            <w:shd w:val="clear" w:color="auto" w:fill="auto"/>
            <w:noWrap/>
            <w:vAlign w:val="center"/>
            <w:hideMark/>
          </w:tcPr>
          <w:p w:rsidR="00F71DBF" w:rsidRDefault="00F71DBF" w:rsidP="00F71DBF">
            <w:pPr>
              <w:jc w:val="center"/>
              <w:rPr>
                <w:color w:val="000000"/>
              </w:rPr>
            </w:pPr>
            <w:r>
              <w:rPr>
                <w:color w:val="000000"/>
              </w:rPr>
              <w:t>144</w:t>
            </w:r>
          </w:p>
        </w:tc>
        <w:tc>
          <w:tcPr>
            <w:tcW w:w="1387" w:type="dxa"/>
            <w:vAlign w:val="center"/>
          </w:tcPr>
          <w:p w:rsidR="00F71DBF" w:rsidRDefault="00F71DBF" w:rsidP="00F71DBF">
            <w:pPr>
              <w:jc w:val="center"/>
            </w:pPr>
            <w:proofErr w:type="gramStart"/>
            <w:r>
              <w:rPr>
                <w:sz w:val="22"/>
                <w:szCs w:val="22"/>
              </w:rPr>
              <w:t>7</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07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"XG" - Diurna                                                                </w:t>
            </w:r>
            <w:r>
              <w:t xml:space="preserve">Composta por gel superabsorvente, difusor de líquidos, barreiras antivazamento aliados a seu formato anatômico, indicador de umidade e </w:t>
            </w:r>
            <w:proofErr w:type="spellStart"/>
            <w:r>
              <w:t>aloe</w:t>
            </w:r>
            <w:proofErr w:type="spellEnd"/>
            <w:r>
              <w:t xml:space="preserve"> vera, hipoalergênico e dermatologicamente testado, contando fitas adesivas reposicionáveis que garantem o ajuste perfeito ao corpo. Unissex, peso acima de 90 kg </w:t>
            </w:r>
            <w:r>
              <w:rPr>
                <w:b/>
                <w:bCs/>
              </w:rPr>
              <w:t xml:space="preserve">Referencia: BIGFRAL </w:t>
            </w:r>
            <w:proofErr w:type="gramStart"/>
            <w:r>
              <w:rPr>
                <w:b/>
                <w:bCs/>
              </w:rPr>
              <w:t>PLUS</w:t>
            </w:r>
            <w:proofErr w:type="gramEnd"/>
          </w:p>
        </w:tc>
        <w:tc>
          <w:tcPr>
            <w:tcW w:w="1077" w:type="dxa"/>
            <w:shd w:val="clear" w:color="auto" w:fill="auto"/>
            <w:noWrap/>
            <w:vAlign w:val="center"/>
            <w:hideMark/>
          </w:tcPr>
          <w:p w:rsidR="00F71DBF" w:rsidRDefault="00F71DBF" w:rsidP="00F71DBF">
            <w:pPr>
              <w:jc w:val="center"/>
            </w:pPr>
            <w:r>
              <w:t>34,03</w:t>
            </w:r>
          </w:p>
        </w:tc>
        <w:tc>
          <w:tcPr>
            <w:tcW w:w="1100" w:type="dxa"/>
            <w:shd w:val="clear" w:color="auto" w:fill="auto"/>
            <w:noWrap/>
            <w:vAlign w:val="center"/>
            <w:hideMark/>
          </w:tcPr>
          <w:p w:rsidR="00F71DBF" w:rsidRDefault="00F71DBF" w:rsidP="00F71DBF">
            <w:pPr>
              <w:jc w:val="center"/>
            </w:pPr>
            <w:r>
              <w:t>4.900,32</w:t>
            </w:r>
          </w:p>
        </w:tc>
      </w:tr>
      <w:tr w:rsidR="00F71DBF" w:rsidTr="00F71DBF">
        <w:trPr>
          <w:trHeight w:val="845"/>
        </w:trPr>
        <w:tc>
          <w:tcPr>
            <w:tcW w:w="724" w:type="dxa"/>
            <w:shd w:val="clear" w:color="auto" w:fill="auto"/>
            <w:noWrap/>
            <w:vAlign w:val="center"/>
            <w:hideMark/>
          </w:tcPr>
          <w:p w:rsidR="00F71DBF" w:rsidRDefault="00F71DBF" w:rsidP="00F71DBF">
            <w:pPr>
              <w:jc w:val="center"/>
              <w:rPr>
                <w:color w:val="000000"/>
              </w:rPr>
            </w:pPr>
            <w:r>
              <w:rPr>
                <w:color w:val="000000"/>
              </w:rPr>
              <w:t>010</w:t>
            </w:r>
          </w:p>
        </w:tc>
        <w:tc>
          <w:tcPr>
            <w:tcW w:w="989" w:type="dxa"/>
            <w:shd w:val="clear" w:color="auto" w:fill="auto"/>
            <w:noWrap/>
            <w:vAlign w:val="center"/>
            <w:hideMark/>
          </w:tcPr>
          <w:p w:rsidR="00F71DBF" w:rsidRDefault="00F71DBF" w:rsidP="00F71DBF">
            <w:pPr>
              <w:jc w:val="center"/>
              <w:rPr>
                <w:color w:val="000000"/>
              </w:rPr>
            </w:pPr>
            <w:r>
              <w:rPr>
                <w:color w:val="000000"/>
              </w:rPr>
              <w:t>100</w:t>
            </w:r>
          </w:p>
        </w:tc>
        <w:tc>
          <w:tcPr>
            <w:tcW w:w="1387" w:type="dxa"/>
            <w:vAlign w:val="center"/>
          </w:tcPr>
          <w:p w:rsidR="00F71DBF" w:rsidRDefault="00F71DBF" w:rsidP="00F71DBF">
            <w:pPr>
              <w:jc w:val="center"/>
            </w:pPr>
            <w:proofErr w:type="gramStart"/>
            <w:r>
              <w:rPr>
                <w:sz w:val="22"/>
                <w:szCs w:val="22"/>
              </w:rPr>
              <w:t>5</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11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"P"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w:t>
            </w:r>
            <w:r>
              <w:rPr>
                <w:color w:val="FF0000"/>
              </w:rPr>
              <w:t xml:space="preserve"> </w:t>
            </w:r>
            <w:r>
              <w:t xml:space="preserve">medida 40 a 80 cm.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2.648,00</w:t>
            </w:r>
          </w:p>
        </w:tc>
      </w:tr>
      <w:tr w:rsidR="00F71DBF" w:rsidTr="00F71DBF">
        <w:trPr>
          <w:trHeight w:val="1575"/>
        </w:trPr>
        <w:tc>
          <w:tcPr>
            <w:tcW w:w="724" w:type="dxa"/>
            <w:shd w:val="clear" w:color="auto" w:fill="auto"/>
            <w:noWrap/>
            <w:vAlign w:val="center"/>
            <w:hideMark/>
          </w:tcPr>
          <w:p w:rsidR="00F71DBF" w:rsidRDefault="00F71DBF" w:rsidP="00F71DBF">
            <w:pPr>
              <w:jc w:val="center"/>
              <w:rPr>
                <w:color w:val="000000"/>
              </w:rPr>
            </w:pPr>
            <w:r>
              <w:rPr>
                <w:color w:val="000000"/>
              </w:rPr>
              <w:lastRenderedPageBreak/>
              <w:t>011</w:t>
            </w:r>
          </w:p>
        </w:tc>
        <w:tc>
          <w:tcPr>
            <w:tcW w:w="989" w:type="dxa"/>
            <w:shd w:val="clear" w:color="auto" w:fill="auto"/>
            <w:noWrap/>
            <w:vAlign w:val="center"/>
            <w:hideMark/>
          </w:tcPr>
          <w:p w:rsidR="00F71DBF" w:rsidRDefault="00F71DBF" w:rsidP="00F71DBF">
            <w:pPr>
              <w:jc w:val="center"/>
              <w:rPr>
                <w:color w:val="000000"/>
              </w:rPr>
            </w:pPr>
            <w:r>
              <w:rPr>
                <w:color w:val="000000"/>
              </w:rPr>
              <w:t>1.500</w:t>
            </w:r>
          </w:p>
        </w:tc>
        <w:tc>
          <w:tcPr>
            <w:tcW w:w="1387" w:type="dxa"/>
            <w:vAlign w:val="center"/>
          </w:tcPr>
          <w:p w:rsidR="00F71DBF" w:rsidRDefault="00F71DBF" w:rsidP="00F71DBF">
            <w:pPr>
              <w:jc w:val="center"/>
            </w:pPr>
            <w:r>
              <w:rPr>
                <w:sz w:val="22"/>
                <w:szCs w:val="22"/>
              </w:rPr>
              <w:t>75</w:t>
            </w:r>
          </w:p>
        </w:tc>
        <w:tc>
          <w:tcPr>
            <w:tcW w:w="1208" w:type="dxa"/>
            <w:shd w:val="clear" w:color="000000" w:fill="FFFFFF"/>
            <w:vAlign w:val="center"/>
            <w:hideMark/>
          </w:tcPr>
          <w:p w:rsidR="00F71DBF" w:rsidRDefault="00F71DBF" w:rsidP="00F71DBF">
            <w:pPr>
              <w:jc w:val="center"/>
              <w:rPr>
                <w:color w:val="000000"/>
              </w:rPr>
            </w:pPr>
            <w:proofErr w:type="spellStart"/>
            <w:proofErr w:type="gramStart"/>
            <w:r>
              <w:rPr>
                <w:color w:val="000000"/>
              </w:rPr>
              <w:t>pct</w:t>
            </w:r>
            <w:proofErr w:type="spellEnd"/>
            <w:proofErr w:type="gramEnd"/>
            <w:r>
              <w:rPr>
                <w:color w:val="000000"/>
              </w:rPr>
              <w:t xml:space="preserve"> c/ 10 </w:t>
            </w:r>
            <w:proofErr w:type="spellStart"/>
            <w:r>
              <w:rPr>
                <w:color w:val="000000"/>
              </w:rP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"M"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70 a 120 cm.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39.720,00</w:t>
            </w:r>
          </w:p>
        </w:tc>
      </w:tr>
      <w:tr w:rsidR="00F71DBF" w:rsidTr="00F71DBF">
        <w:trPr>
          <w:trHeight w:val="2882"/>
        </w:trPr>
        <w:tc>
          <w:tcPr>
            <w:tcW w:w="724" w:type="dxa"/>
            <w:shd w:val="clear" w:color="auto" w:fill="auto"/>
            <w:noWrap/>
            <w:vAlign w:val="center"/>
            <w:hideMark/>
          </w:tcPr>
          <w:p w:rsidR="00F71DBF" w:rsidRDefault="00F71DBF" w:rsidP="00F71DBF">
            <w:pPr>
              <w:jc w:val="center"/>
              <w:rPr>
                <w:color w:val="000000"/>
              </w:rPr>
            </w:pPr>
            <w:r>
              <w:rPr>
                <w:color w:val="000000"/>
              </w:rPr>
              <w:t>012</w:t>
            </w:r>
          </w:p>
        </w:tc>
        <w:tc>
          <w:tcPr>
            <w:tcW w:w="989" w:type="dxa"/>
            <w:shd w:val="clear" w:color="auto" w:fill="auto"/>
            <w:noWrap/>
            <w:vAlign w:val="center"/>
            <w:hideMark/>
          </w:tcPr>
          <w:p w:rsidR="00F71DBF" w:rsidRDefault="00F71DBF" w:rsidP="00F71DBF">
            <w:pPr>
              <w:jc w:val="center"/>
              <w:rPr>
                <w:color w:val="000000"/>
              </w:rPr>
            </w:pPr>
            <w:r>
              <w:rPr>
                <w:color w:val="000000"/>
              </w:rPr>
              <w:t>3.400</w:t>
            </w:r>
          </w:p>
        </w:tc>
        <w:tc>
          <w:tcPr>
            <w:tcW w:w="1387" w:type="dxa"/>
            <w:vAlign w:val="center"/>
          </w:tcPr>
          <w:p w:rsidR="00F71DBF" w:rsidRDefault="00F71DBF" w:rsidP="00F71DBF">
            <w:pPr>
              <w:jc w:val="center"/>
            </w:pPr>
            <w:r>
              <w:rPr>
                <w:sz w:val="22"/>
                <w:szCs w:val="22"/>
              </w:rPr>
              <w:t>170</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"G"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80 a 150 </w:t>
            </w:r>
            <w:proofErr w:type="gramStart"/>
            <w:r>
              <w:t>cm .</w:t>
            </w:r>
            <w:proofErr w:type="gramEnd"/>
            <w:r>
              <w:t xml:space="preserve">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90.032,00</w:t>
            </w:r>
          </w:p>
        </w:tc>
      </w:tr>
      <w:tr w:rsidR="00F71DBF" w:rsidTr="00F71DBF">
        <w:trPr>
          <w:trHeight w:val="1575"/>
        </w:trPr>
        <w:tc>
          <w:tcPr>
            <w:tcW w:w="724" w:type="dxa"/>
            <w:shd w:val="clear" w:color="auto" w:fill="auto"/>
            <w:noWrap/>
            <w:vAlign w:val="center"/>
            <w:hideMark/>
          </w:tcPr>
          <w:p w:rsidR="00F71DBF" w:rsidRDefault="00F71DBF" w:rsidP="00F71DBF">
            <w:pPr>
              <w:jc w:val="center"/>
              <w:rPr>
                <w:color w:val="000000"/>
              </w:rPr>
            </w:pPr>
            <w:r>
              <w:rPr>
                <w:color w:val="000000"/>
              </w:rPr>
              <w:t>013</w:t>
            </w:r>
          </w:p>
        </w:tc>
        <w:tc>
          <w:tcPr>
            <w:tcW w:w="989" w:type="dxa"/>
            <w:shd w:val="clear" w:color="auto" w:fill="auto"/>
            <w:noWrap/>
            <w:vAlign w:val="center"/>
            <w:hideMark/>
          </w:tcPr>
          <w:p w:rsidR="00F71DBF" w:rsidRDefault="00F71DBF" w:rsidP="00F71DBF">
            <w:pPr>
              <w:jc w:val="center"/>
              <w:rPr>
                <w:color w:val="000000"/>
              </w:rPr>
            </w:pPr>
            <w:r>
              <w:rPr>
                <w:color w:val="000000"/>
              </w:rPr>
              <w:t>1.800</w:t>
            </w:r>
          </w:p>
        </w:tc>
        <w:tc>
          <w:tcPr>
            <w:tcW w:w="1387" w:type="dxa"/>
            <w:vAlign w:val="center"/>
          </w:tcPr>
          <w:p w:rsidR="00F71DBF" w:rsidRDefault="00F71DBF" w:rsidP="00F71DBF">
            <w:pPr>
              <w:jc w:val="center"/>
            </w:pPr>
            <w:r>
              <w:rPr>
                <w:sz w:val="22"/>
                <w:szCs w:val="22"/>
              </w:rPr>
              <w:t>90</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07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"EG"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110 a 165 cm.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47.664,00</w:t>
            </w:r>
          </w:p>
        </w:tc>
      </w:tr>
      <w:tr w:rsidR="00F71DBF" w:rsidTr="00F71DBF">
        <w:trPr>
          <w:trHeight w:val="2520"/>
        </w:trPr>
        <w:tc>
          <w:tcPr>
            <w:tcW w:w="724" w:type="dxa"/>
            <w:shd w:val="clear" w:color="000000" w:fill="FFFFFF"/>
            <w:vAlign w:val="center"/>
            <w:hideMark/>
          </w:tcPr>
          <w:p w:rsidR="00F71DBF" w:rsidRDefault="00F71DBF" w:rsidP="00F71DBF">
            <w:pPr>
              <w:jc w:val="center"/>
            </w:pPr>
            <w:r>
              <w:t>014</w:t>
            </w:r>
          </w:p>
        </w:tc>
        <w:tc>
          <w:tcPr>
            <w:tcW w:w="989" w:type="dxa"/>
            <w:shd w:val="clear" w:color="auto" w:fill="auto"/>
            <w:noWrap/>
            <w:vAlign w:val="center"/>
            <w:hideMark/>
          </w:tcPr>
          <w:p w:rsidR="00F71DBF" w:rsidRDefault="00F71DBF" w:rsidP="00F71DBF">
            <w:pPr>
              <w:jc w:val="center"/>
              <w:rPr>
                <w:color w:val="000000"/>
              </w:rPr>
            </w:pPr>
            <w:r>
              <w:rPr>
                <w:color w:val="000000"/>
              </w:rPr>
              <w:t>2.150</w:t>
            </w:r>
          </w:p>
        </w:tc>
        <w:tc>
          <w:tcPr>
            <w:tcW w:w="1387" w:type="dxa"/>
            <w:vAlign w:val="center"/>
          </w:tcPr>
          <w:p w:rsidR="00F71DBF" w:rsidRDefault="00F71DBF" w:rsidP="00F71DBF">
            <w:pPr>
              <w:jc w:val="center"/>
            </w:pPr>
            <w:r>
              <w:rPr>
                <w:sz w:val="22"/>
                <w:szCs w:val="22"/>
              </w:rPr>
              <w:t>108</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"M" - Diurna                                                     </w:t>
            </w:r>
            <w:r>
              <w:t xml:space="preserve">Composta por supergel, material com alto poder de absorção, proteção </w:t>
            </w:r>
            <w:proofErr w:type="gramStart"/>
            <w:r>
              <w:t>anti- vazamento</w:t>
            </w:r>
            <w:proofErr w:type="gramEnd"/>
            <w:r>
              <w:t xml:space="preserve">, barreiras de laterais macias e impermeáveis que evitam vazamentos entre as pernas, formato anatômico, com </w:t>
            </w:r>
            <w:proofErr w:type="spellStart"/>
            <w:r>
              <w:t>aloe</w:t>
            </w:r>
            <w:proofErr w:type="spellEnd"/>
            <w:r>
              <w:t xml:space="preserve"> vera. Hipoalergênica e dermatologicamente testada desenvolvida de modo a minimizar possível surgimento de alergias. Melhor ajuste ao corpo, mais discreto e confortável.</w:t>
            </w:r>
            <w:r>
              <w:br w:type="page"/>
              <w:t xml:space="preserve">Unissex, peso 57 a </w:t>
            </w:r>
            <w:proofErr w:type="gramStart"/>
            <w:r>
              <w:t>77kg</w:t>
            </w:r>
            <w:proofErr w:type="gramEnd"/>
            <w:r>
              <w:t xml:space="preserve"> . </w:t>
            </w:r>
            <w:r>
              <w:rPr>
                <w:b/>
                <w:bCs/>
              </w:rPr>
              <w:t>Referencia: PLENITUD</w:t>
            </w:r>
          </w:p>
        </w:tc>
        <w:tc>
          <w:tcPr>
            <w:tcW w:w="1077" w:type="dxa"/>
            <w:shd w:val="clear" w:color="auto" w:fill="auto"/>
            <w:noWrap/>
            <w:vAlign w:val="center"/>
            <w:hideMark/>
          </w:tcPr>
          <w:p w:rsidR="00F71DBF" w:rsidRDefault="00F71DBF" w:rsidP="00F71DBF">
            <w:pPr>
              <w:jc w:val="center"/>
            </w:pPr>
            <w:r>
              <w:t>34,35</w:t>
            </w:r>
          </w:p>
        </w:tc>
        <w:tc>
          <w:tcPr>
            <w:tcW w:w="1100" w:type="dxa"/>
            <w:shd w:val="clear" w:color="auto" w:fill="auto"/>
            <w:noWrap/>
            <w:vAlign w:val="center"/>
            <w:hideMark/>
          </w:tcPr>
          <w:p w:rsidR="00F71DBF" w:rsidRDefault="00F71DBF" w:rsidP="00F71DBF">
            <w:pPr>
              <w:jc w:val="center"/>
            </w:pPr>
            <w:r>
              <w:t>73.852,50</w:t>
            </w:r>
          </w:p>
        </w:tc>
      </w:tr>
      <w:tr w:rsidR="00F71DBF" w:rsidTr="00F71DBF">
        <w:trPr>
          <w:trHeight w:val="420"/>
        </w:trPr>
        <w:tc>
          <w:tcPr>
            <w:tcW w:w="724" w:type="dxa"/>
            <w:shd w:val="clear" w:color="auto" w:fill="auto"/>
            <w:noWrap/>
            <w:vAlign w:val="center"/>
            <w:hideMark/>
          </w:tcPr>
          <w:p w:rsidR="00F71DBF" w:rsidRDefault="00F71DBF" w:rsidP="00F71DBF">
            <w:pPr>
              <w:jc w:val="center"/>
              <w:rPr>
                <w:color w:val="000000"/>
              </w:rPr>
            </w:pPr>
            <w:r>
              <w:rPr>
                <w:color w:val="000000"/>
              </w:rPr>
              <w:t>015</w:t>
            </w:r>
          </w:p>
        </w:tc>
        <w:tc>
          <w:tcPr>
            <w:tcW w:w="989" w:type="dxa"/>
            <w:shd w:val="clear" w:color="auto" w:fill="auto"/>
            <w:noWrap/>
            <w:vAlign w:val="center"/>
            <w:hideMark/>
          </w:tcPr>
          <w:p w:rsidR="00F71DBF" w:rsidRDefault="00F71DBF" w:rsidP="00F71DBF">
            <w:pPr>
              <w:jc w:val="center"/>
              <w:rPr>
                <w:color w:val="000000"/>
              </w:rPr>
            </w:pPr>
            <w:r>
              <w:rPr>
                <w:color w:val="000000"/>
              </w:rPr>
              <w:t>100</w:t>
            </w:r>
          </w:p>
        </w:tc>
        <w:tc>
          <w:tcPr>
            <w:tcW w:w="1387" w:type="dxa"/>
            <w:vAlign w:val="center"/>
          </w:tcPr>
          <w:p w:rsidR="00F71DBF" w:rsidRDefault="00F71DBF" w:rsidP="00F71DBF">
            <w:pPr>
              <w:jc w:val="center"/>
            </w:pPr>
            <w:proofErr w:type="gramStart"/>
            <w:r>
              <w:rPr>
                <w:sz w:val="22"/>
                <w:szCs w:val="22"/>
              </w:rPr>
              <w:t>5</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48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color w:val="000000"/>
              </w:rPr>
              <w:t>TOALHAS UMEDECIDAS</w:t>
            </w:r>
            <w:r>
              <w:rPr>
                <w:color w:val="000000"/>
              </w:rPr>
              <w:t xml:space="preserve">: Com extrato de </w:t>
            </w:r>
            <w:proofErr w:type="spellStart"/>
            <w:r>
              <w:rPr>
                <w:color w:val="000000"/>
              </w:rPr>
              <w:t>aloe</w:t>
            </w:r>
            <w:proofErr w:type="spellEnd"/>
            <w:r>
              <w:rPr>
                <w:color w:val="000000"/>
              </w:rPr>
              <w:t xml:space="preserve"> e vera e vitamina E, sem álcool etílico, dermatologicamente testado, com tampa </w:t>
            </w:r>
            <w:proofErr w:type="spellStart"/>
            <w:r>
              <w:rPr>
                <w:color w:val="000000"/>
              </w:rPr>
              <w:t>flip-top</w:t>
            </w:r>
            <w:proofErr w:type="spellEnd"/>
            <w:r>
              <w:rPr>
                <w:color w:val="000000"/>
              </w:rPr>
              <w:t xml:space="preserve">. </w:t>
            </w:r>
            <w:r>
              <w:rPr>
                <w:b/>
                <w:bCs/>
                <w:color w:val="000000"/>
              </w:rPr>
              <w:t xml:space="preserve">Referencia: Toalhas Umedecidas </w:t>
            </w:r>
            <w:proofErr w:type="spellStart"/>
            <w:r>
              <w:rPr>
                <w:b/>
                <w:bCs/>
                <w:color w:val="000000"/>
              </w:rPr>
              <w:t>Huggies</w:t>
            </w:r>
            <w:proofErr w:type="spellEnd"/>
            <w:r>
              <w:rPr>
                <w:b/>
                <w:bCs/>
                <w:color w:val="000000"/>
              </w:rPr>
              <w:t xml:space="preserve">® </w:t>
            </w:r>
            <w:proofErr w:type="spellStart"/>
            <w:r>
              <w:rPr>
                <w:b/>
                <w:bCs/>
                <w:color w:val="000000"/>
              </w:rPr>
              <w:t>Classic</w:t>
            </w:r>
            <w:proofErr w:type="spellEnd"/>
            <w:r>
              <w:rPr>
                <w:b/>
                <w:bCs/>
                <w:color w:val="000000"/>
              </w:rPr>
              <w:t xml:space="preserve"> Turma da Monica</w:t>
            </w:r>
          </w:p>
        </w:tc>
        <w:tc>
          <w:tcPr>
            <w:tcW w:w="1077" w:type="dxa"/>
            <w:shd w:val="clear" w:color="auto" w:fill="auto"/>
            <w:noWrap/>
            <w:vAlign w:val="center"/>
            <w:hideMark/>
          </w:tcPr>
          <w:p w:rsidR="00F71DBF" w:rsidRDefault="00F71DBF" w:rsidP="00F71DBF">
            <w:pPr>
              <w:jc w:val="center"/>
            </w:pPr>
            <w:r>
              <w:t>14,20</w:t>
            </w:r>
          </w:p>
        </w:tc>
        <w:tc>
          <w:tcPr>
            <w:tcW w:w="1100" w:type="dxa"/>
            <w:shd w:val="clear" w:color="auto" w:fill="auto"/>
            <w:noWrap/>
            <w:vAlign w:val="center"/>
            <w:hideMark/>
          </w:tcPr>
          <w:p w:rsidR="00F71DBF" w:rsidRDefault="00F71DBF" w:rsidP="00F71DBF">
            <w:pPr>
              <w:jc w:val="center"/>
            </w:pPr>
            <w:r>
              <w:t>1.420,00</w:t>
            </w:r>
          </w:p>
        </w:tc>
      </w:tr>
      <w:tr w:rsidR="00F71DBF" w:rsidTr="00F71DBF">
        <w:trPr>
          <w:trHeight w:val="412"/>
        </w:trPr>
        <w:tc>
          <w:tcPr>
            <w:tcW w:w="7670" w:type="dxa"/>
            <w:gridSpan w:val="5"/>
            <w:shd w:val="clear" w:color="auto" w:fill="auto"/>
            <w:noWrap/>
            <w:vAlign w:val="center"/>
            <w:hideMark/>
          </w:tcPr>
          <w:p w:rsidR="00F71DBF" w:rsidRDefault="00F71DBF" w:rsidP="00F71DBF">
            <w:pPr>
              <w:jc w:val="center"/>
              <w:rPr>
                <w:b/>
                <w:bCs/>
                <w:color w:val="000000"/>
              </w:rPr>
            </w:pPr>
            <w:r>
              <w:rPr>
                <w:b/>
                <w:bCs/>
                <w:color w:val="000000"/>
              </w:rPr>
              <w:t>TOTAL</w:t>
            </w:r>
          </w:p>
        </w:tc>
        <w:tc>
          <w:tcPr>
            <w:tcW w:w="2177" w:type="dxa"/>
            <w:gridSpan w:val="2"/>
            <w:shd w:val="clear" w:color="auto" w:fill="auto"/>
            <w:noWrap/>
            <w:vAlign w:val="center"/>
            <w:hideMark/>
          </w:tcPr>
          <w:p w:rsidR="00F71DBF" w:rsidRPr="00F71DBF" w:rsidRDefault="00F71DBF" w:rsidP="00F71DBF">
            <w:pPr>
              <w:jc w:val="center"/>
              <w:rPr>
                <w:b/>
              </w:rPr>
            </w:pPr>
            <w:r w:rsidRPr="00F71DBF">
              <w:rPr>
                <w:b/>
              </w:rPr>
              <w:t>300.826,00</w:t>
            </w:r>
          </w:p>
        </w:tc>
      </w:tr>
    </w:tbl>
    <w:p w:rsidR="006C4701" w:rsidRDefault="006C4701" w:rsidP="006C4701">
      <w:pPr>
        <w:jc w:val="both"/>
        <w:rPr>
          <w:b/>
        </w:rPr>
      </w:pPr>
    </w:p>
    <w:p w:rsidR="006C4701" w:rsidRPr="00EA7708" w:rsidRDefault="006C4701" w:rsidP="006C4701">
      <w:pPr>
        <w:jc w:val="both"/>
        <w:rPr>
          <w:b/>
        </w:rPr>
      </w:pPr>
      <w:r>
        <w:rPr>
          <w:b/>
        </w:rPr>
        <w:t xml:space="preserve">4.4. </w:t>
      </w:r>
      <w:r w:rsidRPr="00EA7708">
        <w:rPr>
          <w:b/>
        </w:rPr>
        <w:t xml:space="preserve"> </w:t>
      </w:r>
      <w:r>
        <w:t xml:space="preserve">O valor total estimado é de </w:t>
      </w:r>
      <w:r w:rsidRPr="00EC7E5D">
        <w:rPr>
          <w:b/>
        </w:rPr>
        <w:t>R$</w:t>
      </w:r>
      <w:r w:rsidR="00F71DBF">
        <w:rPr>
          <w:b/>
        </w:rPr>
        <w:t>300.826,00</w:t>
      </w:r>
      <w:r w:rsidRPr="00EC7E5D">
        <w:rPr>
          <w:b/>
        </w:rPr>
        <w:t xml:space="preserve"> (</w:t>
      </w:r>
      <w:r w:rsidR="00F71DBF">
        <w:rPr>
          <w:b/>
        </w:rPr>
        <w:t>trezentos mil e oitocentos e vinte e seis reais)</w:t>
      </w:r>
      <w:r w:rsidRPr="00EC7E5D">
        <w:t>.</w:t>
      </w:r>
    </w:p>
    <w:p w:rsidR="006C4701" w:rsidRPr="008B17D3" w:rsidRDefault="006C4701" w:rsidP="006C4701">
      <w:pPr>
        <w:jc w:val="both"/>
        <w:rPr>
          <w:b/>
        </w:rPr>
      </w:pPr>
    </w:p>
    <w:p w:rsidR="006C4701" w:rsidRDefault="006C4701" w:rsidP="006C4701">
      <w:pPr>
        <w:jc w:val="both"/>
        <w:rPr>
          <w:b/>
        </w:rPr>
      </w:pPr>
      <w:r>
        <w:rPr>
          <w:b/>
        </w:rPr>
        <w:t>4.5. CRITÉRIO DE ACEITAÇÃO DO OBJETO</w:t>
      </w:r>
    </w:p>
    <w:p w:rsidR="006C4701" w:rsidRPr="00D534BE" w:rsidRDefault="006C4701" w:rsidP="006C4701">
      <w:pPr>
        <w:jc w:val="both"/>
        <w:rPr>
          <w:b/>
        </w:rPr>
      </w:pPr>
      <w:r>
        <w:rPr>
          <w:b/>
        </w:rPr>
        <w:t>4.5.1. Das amostras e Comissão de avaliação:</w:t>
      </w:r>
    </w:p>
    <w:p w:rsidR="006C4701" w:rsidRPr="00DF04E3" w:rsidRDefault="006C4701" w:rsidP="006C4701">
      <w:pPr>
        <w:jc w:val="both"/>
        <w:rPr>
          <w:color w:val="000000" w:themeColor="text1"/>
        </w:rPr>
      </w:pPr>
      <w:r>
        <w:rPr>
          <w:b/>
          <w:color w:val="000000" w:themeColor="text1"/>
        </w:rPr>
        <w:t>4.5.1.1.</w:t>
      </w:r>
      <w:r w:rsidRPr="00DF04E3">
        <w:rPr>
          <w:color w:val="000000" w:themeColor="text1"/>
        </w:rPr>
        <w:t xml:space="preserve"> </w:t>
      </w:r>
      <w:r>
        <w:rPr>
          <w:color w:val="000000" w:themeColor="text1"/>
        </w:rPr>
        <w:t>Deverá ser apresentada amostras dos itens objeto deste Termo de Referência, para análise da</w:t>
      </w:r>
      <w:proofErr w:type="gramStart"/>
      <w:r>
        <w:rPr>
          <w:color w:val="000000" w:themeColor="text1"/>
        </w:rPr>
        <w:t xml:space="preserve">  </w:t>
      </w:r>
      <w:proofErr w:type="gramEnd"/>
      <w:r>
        <w:rPr>
          <w:color w:val="000000" w:themeColor="text1"/>
        </w:rPr>
        <w:t xml:space="preserve">Comissão designada </w:t>
      </w:r>
      <w:r w:rsidRPr="00DF04E3">
        <w:rPr>
          <w:color w:val="000000" w:themeColor="text1"/>
        </w:rPr>
        <w:t>para este ato;</w:t>
      </w:r>
    </w:p>
    <w:p w:rsidR="006C4701" w:rsidRPr="00DF04E3" w:rsidRDefault="006C4701" w:rsidP="006C4701">
      <w:pPr>
        <w:jc w:val="both"/>
        <w:rPr>
          <w:color w:val="000000" w:themeColor="text1"/>
        </w:rPr>
      </w:pPr>
      <w:r>
        <w:rPr>
          <w:b/>
          <w:color w:val="000000" w:themeColor="text1"/>
        </w:rPr>
        <w:t xml:space="preserve">4.5.1.2. </w:t>
      </w:r>
      <w:r w:rsidRPr="00DF04E3">
        <w:rPr>
          <w:color w:val="000000" w:themeColor="text1"/>
        </w:rPr>
        <w:t xml:space="preserve">A empresa vencedora do certame deverá apresentar-se a Secretaria Municipal de </w:t>
      </w:r>
      <w:r>
        <w:rPr>
          <w:color w:val="000000" w:themeColor="text1"/>
        </w:rPr>
        <w:t>Saúde</w:t>
      </w:r>
      <w:r w:rsidRPr="00DF04E3">
        <w:rPr>
          <w:color w:val="000000" w:themeColor="text1"/>
        </w:rPr>
        <w:t>, no dia seguinte no mesmo horário da abertura com uma amostra de cada produto ofertado no lote; para análise da Comissão, designada para este ato, que,</w:t>
      </w:r>
      <w:r>
        <w:rPr>
          <w:color w:val="000000" w:themeColor="text1"/>
        </w:rPr>
        <w:t xml:space="preserve"> caso aprovado, ficará retido no Setor do </w:t>
      </w:r>
      <w:r w:rsidRPr="004A5C53">
        <w:rPr>
          <w:b/>
        </w:rPr>
        <w:t>Farmacêutico do Setor de Farmácia Socia</w:t>
      </w:r>
      <w:r w:rsidRPr="00507D20">
        <w:rPr>
          <w:b/>
        </w:rPr>
        <w:t>l</w:t>
      </w:r>
      <w:r w:rsidRPr="00DF04E3">
        <w:rPr>
          <w:color w:val="000000" w:themeColor="text1"/>
        </w:rPr>
        <w:t xml:space="preserve"> até a entrega do último item que a empresa foi vencedora. As amostras apresentadas deverão estar identificadas, com etiqueta, constando nome da empresa e número do</w:t>
      </w:r>
      <w:proofErr w:type="gramStart"/>
      <w:r w:rsidRPr="00DF04E3">
        <w:rPr>
          <w:color w:val="000000" w:themeColor="text1"/>
        </w:rPr>
        <w:t xml:space="preserve">  </w:t>
      </w:r>
      <w:proofErr w:type="gramEnd"/>
      <w:r w:rsidRPr="00DF04E3">
        <w:rPr>
          <w:color w:val="000000" w:themeColor="text1"/>
        </w:rPr>
        <w:t>processo licitatório.</w:t>
      </w:r>
    </w:p>
    <w:p w:rsidR="006C4701" w:rsidRPr="00DF04E3" w:rsidRDefault="006C4701" w:rsidP="006C4701">
      <w:pPr>
        <w:jc w:val="both"/>
        <w:rPr>
          <w:color w:val="000000" w:themeColor="text1"/>
        </w:rPr>
      </w:pPr>
      <w:r>
        <w:rPr>
          <w:b/>
          <w:color w:val="000000" w:themeColor="text1"/>
        </w:rPr>
        <w:t xml:space="preserve">4.5.1.3. </w:t>
      </w:r>
      <w:r w:rsidRPr="00DF04E3">
        <w:rPr>
          <w:color w:val="000000" w:themeColor="text1"/>
        </w:rPr>
        <w:t>Caso a amostra apresentada vir a ser reprovada, a empresa licitante será declarada desclassificada, e o pregoeiro negociará a oferta subsequente na ordem de classificação, até a apuração de uma empresa que atenda ao edital.</w:t>
      </w:r>
    </w:p>
    <w:p w:rsidR="006C4701" w:rsidRPr="00D5341B" w:rsidRDefault="006C4701" w:rsidP="006C4701">
      <w:pPr>
        <w:jc w:val="both"/>
        <w:rPr>
          <w:sz w:val="16"/>
          <w:szCs w:val="16"/>
        </w:rPr>
      </w:pPr>
    </w:p>
    <w:p w:rsidR="006C4701" w:rsidRDefault="006C4701" w:rsidP="006C4701">
      <w:pPr>
        <w:jc w:val="both"/>
        <w:rPr>
          <w:b/>
        </w:rPr>
      </w:pPr>
      <w:r>
        <w:rPr>
          <w:b/>
        </w:rPr>
        <w:t>4.5.2. Condições de aceite do produto:</w:t>
      </w:r>
    </w:p>
    <w:p w:rsidR="006C4701" w:rsidRDefault="006C4701" w:rsidP="006C4701">
      <w:pPr>
        <w:jc w:val="both"/>
        <w:rPr>
          <w:b/>
        </w:rPr>
      </w:pPr>
      <w:r>
        <w:rPr>
          <w:b/>
        </w:rPr>
        <w:t xml:space="preserve">4.5.2.1. Caberá </w:t>
      </w:r>
      <w:proofErr w:type="gramStart"/>
      <w:r>
        <w:rPr>
          <w:b/>
        </w:rPr>
        <w:t>a</w:t>
      </w:r>
      <w:proofErr w:type="gramEnd"/>
      <w:r>
        <w:rPr>
          <w:b/>
        </w:rPr>
        <w:t xml:space="preserve"> empresa vencedora, no momento da entrega do material, atender ao que segue:</w:t>
      </w:r>
    </w:p>
    <w:p w:rsidR="006C4701" w:rsidRDefault="006C4701" w:rsidP="006C4701">
      <w:pPr>
        <w:pStyle w:val="PargrafodaLista"/>
        <w:numPr>
          <w:ilvl w:val="0"/>
          <w:numId w:val="2"/>
        </w:numPr>
        <w:jc w:val="both"/>
      </w:pPr>
      <w:r>
        <w:t>Apresentar o material com embalagem em perfeito estado, nas condições exigidas no rótulo, sendo todos os dados (rótulo) deve estar em língua portuguesa.</w:t>
      </w:r>
    </w:p>
    <w:p w:rsidR="006C4701" w:rsidRDefault="006C4701" w:rsidP="006C4701">
      <w:pPr>
        <w:pStyle w:val="PargrafodaLista"/>
        <w:numPr>
          <w:ilvl w:val="0"/>
          <w:numId w:val="2"/>
        </w:numPr>
        <w:jc w:val="both"/>
      </w:pPr>
      <w:r>
        <w:t xml:space="preserve">Os materiais deverão conter em suas embalagens: número do lote, dados do fabricante, data da validade, nome comercial, validade de </w:t>
      </w:r>
      <w:proofErr w:type="gramStart"/>
      <w:r>
        <w:t>3</w:t>
      </w:r>
      <w:proofErr w:type="gramEnd"/>
      <w:r>
        <w:t xml:space="preserve"> anos após a fabricação, e suas condições devem estar de acordo com a portaria nº 1480/90 do ministério da saúde, atendendo a resolução GMC nº 36/2004 do </w:t>
      </w:r>
      <w:proofErr w:type="spellStart"/>
      <w:r>
        <w:t>inmetro</w:t>
      </w:r>
      <w:proofErr w:type="spellEnd"/>
      <w:r>
        <w:t xml:space="preserve"> referente a rotulagem.</w:t>
      </w:r>
    </w:p>
    <w:p w:rsidR="006C4701" w:rsidRPr="00CA23E9" w:rsidRDefault="006C4701" w:rsidP="006C4701">
      <w:pPr>
        <w:pStyle w:val="PargrafodaLista"/>
        <w:numPr>
          <w:ilvl w:val="0"/>
          <w:numId w:val="2"/>
        </w:numPr>
        <w:jc w:val="both"/>
        <w:rPr>
          <w:sz w:val="16"/>
          <w:szCs w:val="16"/>
        </w:rPr>
      </w:pPr>
      <w:r>
        <w:t xml:space="preserve">O transporte do material deverá obedecer a critérios de modo a não afetar a identidade, qualidade, integridade e quando for o caso, esterilidade dos mesmos. </w:t>
      </w:r>
    </w:p>
    <w:p w:rsidR="006C4701" w:rsidRPr="0035622D" w:rsidRDefault="006C4701" w:rsidP="006C4701">
      <w:pPr>
        <w:pStyle w:val="PargrafodaLista"/>
        <w:numPr>
          <w:ilvl w:val="0"/>
          <w:numId w:val="2"/>
        </w:numPr>
        <w:autoSpaceDE w:val="0"/>
        <w:autoSpaceDN w:val="0"/>
        <w:adjustRightInd w:val="0"/>
        <w:jc w:val="both"/>
      </w:pPr>
      <w:r w:rsidRPr="0035622D">
        <w:t xml:space="preserve">Apresentar </w:t>
      </w:r>
      <w:r>
        <w:t>o</w:t>
      </w:r>
      <w:r w:rsidRPr="0035622D">
        <w:t xml:space="preserve">s </w:t>
      </w:r>
      <w:r>
        <w:t>materiais</w:t>
      </w:r>
      <w:r w:rsidRPr="0035622D">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C4701" w:rsidRPr="00AB0149" w:rsidRDefault="006C4701" w:rsidP="006C4701">
      <w:pPr>
        <w:pStyle w:val="PargrafodaLista"/>
        <w:jc w:val="both"/>
      </w:pPr>
      <w:r w:rsidRPr="00AB0149">
        <w:t xml:space="preserve"> </w:t>
      </w:r>
    </w:p>
    <w:p w:rsidR="006C4701" w:rsidRPr="00AB0149" w:rsidRDefault="006C4701" w:rsidP="006C4701">
      <w:pPr>
        <w:jc w:val="both"/>
        <w:rPr>
          <w:b/>
        </w:rPr>
      </w:pPr>
      <w:r w:rsidRPr="00AB0149">
        <w:rPr>
          <w:b/>
        </w:rPr>
        <w:t>5.</w:t>
      </w:r>
      <w:r w:rsidRPr="00AB0149">
        <w:t xml:space="preserve"> </w:t>
      </w:r>
      <w:r w:rsidRPr="00AB0149">
        <w:rPr>
          <w:b/>
        </w:rPr>
        <w:t xml:space="preserve">FORMA DE FORNECIMENTO </w:t>
      </w:r>
    </w:p>
    <w:p w:rsidR="006C4701" w:rsidRPr="00AB0149" w:rsidRDefault="006C4701" w:rsidP="006C4701">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do </w:t>
      </w:r>
      <w:r w:rsidRPr="00AB0149">
        <w:rPr>
          <w:b/>
          <w:sz w:val="24"/>
          <w:szCs w:val="24"/>
        </w:rPr>
        <w:t>Farmacêutico do Setor de Farmácia Socia</w:t>
      </w:r>
      <w:r w:rsidRPr="00AB0149">
        <w:rPr>
          <w:sz w:val="24"/>
          <w:szCs w:val="24"/>
        </w:rPr>
        <w:t xml:space="preserve">l da Secretaria Municipal de Saúde, </w:t>
      </w:r>
      <w:r w:rsidRPr="00AB0149">
        <w:rPr>
          <w:b/>
          <w:sz w:val="24"/>
          <w:szCs w:val="24"/>
        </w:rPr>
        <w:t>através do Órgão Gerenciador</w:t>
      </w:r>
      <w:r w:rsidRPr="00AB0149">
        <w:rPr>
          <w:sz w:val="24"/>
          <w:szCs w:val="24"/>
        </w:rPr>
        <w:t>.</w:t>
      </w:r>
    </w:p>
    <w:p w:rsidR="006C4701" w:rsidRPr="00AB0149" w:rsidRDefault="006C4701" w:rsidP="006C4701">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Pr="00AB0149">
        <w:rPr>
          <w:b/>
          <w:sz w:val="24"/>
          <w:szCs w:val="24"/>
        </w:rPr>
        <w:t xml:space="preserve">Farmacêutico do Setor de Farmácia Social </w:t>
      </w:r>
      <w:r w:rsidRPr="00AB0149">
        <w:rPr>
          <w:rFonts w:eastAsia="Batang"/>
          <w:sz w:val="24"/>
          <w:szCs w:val="24"/>
        </w:rPr>
        <w:t>a fiscalização e o acompanhamento da execução de todas as fases e etapas das entregas</w:t>
      </w:r>
    </w:p>
    <w:p w:rsidR="006C4701" w:rsidRDefault="006C4701" w:rsidP="006C4701">
      <w:pPr>
        <w:pStyle w:val="Corpodetexto2"/>
        <w:tabs>
          <w:tab w:val="left" w:pos="7350"/>
        </w:tabs>
        <w:rPr>
          <w:sz w:val="24"/>
          <w:szCs w:val="24"/>
        </w:rPr>
      </w:pPr>
    </w:p>
    <w:p w:rsidR="006C4701" w:rsidRPr="00AB0149" w:rsidRDefault="006C4701" w:rsidP="006C4701">
      <w:pPr>
        <w:pStyle w:val="Corpodetexto2"/>
        <w:rPr>
          <w:b/>
          <w:sz w:val="24"/>
          <w:szCs w:val="24"/>
        </w:rPr>
      </w:pPr>
      <w:r w:rsidRPr="00AB0149">
        <w:rPr>
          <w:b/>
          <w:sz w:val="24"/>
          <w:szCs w:val="24"/>
        </w:rPr>
        <w:t>6. LOCAL DE ENTREGA</w:t>
      </w:r>
    </w:p>
    <w:p w:rsidR="006C4701" w:rsidRPr="00AB0149" w:rsidRDefault="006C4701" w:rsidP="006C4701">
      <w:pPr>
        <w:jc w:val="both"/>
        <w:rPr>
          <w:color w:val="FF0000"/>
        </w:rPr>
      </w:pPr>
      <w:r w:rsidRPr="00AB0149">
        <w:rPr>
          <w:b/>
        </w:rPr>
        <w:t>6.1.</w:t>
      </w:r>
      <w:r w:rsidRPr="00AB0149">
        <w:t xml:space="preserve"> Os medicamentos deverão ser </w:t>
      </w:r>
      <w:proofErr w:type="gramStart"/>
      <w:r w:rsidRPr="00AB0149">
        <w:t xml:space="preserve">entregues no </w:t>
      </w:r>
      <w:r w:rsidRPr="00AB0149">
        <w:rPr>
          <w:b/>
        </w:rPr>
        <w:t>Setor de Farmácia Social da Secretaria Municipal de Saúde</w:t>
      </w:r>
      <w:r w:rsidRPr="00AB0149">
        <w:t xml:space="preserve">, Avenida João </w:t>
      </w:r>
      <w:proofErr w:type="spellStart"/>
      <w:r w:rsidRPr="00AB0149">
        <w:t>Jasbick</w:t>
      </w:r>
      <w:proofErr w:type="spellEnd"/>
      <w:proofErr w:type="gramEnd"/>
      <w:r w:rsidRPr="00AB0149">
        <w:t>, nº 520, Bairro Aeroporto, Santo Antônio de Pádua-RJ. De segunda a sexta-feira, salvo feriados e pontos facultativos, das 08 h às 16 h, de acordo com as solicitações do Farmacêutico desta Secretaria Municipal de Saúde.</w:t>
      </w:r>
    </w:p>
    <w:p w:rsidR="006C4701" w:rsidRPr="00AB0149" w:rsidRDefault="006C4701" w:rsidP="006C4701">
      <w:pPr>
        <w:jc w:val="both"/>
      </w:pPr>
    </w:p>
    <w:p w:rsidR="006C4701" w:rsidRPr="00AB0149" w:rsidRDefault="006C4701" w:rsidP="006C4701">
      <w:pPr>
        <w:jc w:val="both"/>
      </w:pPr>
      <w:r w:rsidRPr="00AB0149">
        <w:rPr>
          <w:b/>
        </w:rPr>
        <w:t xml:space="preserve">7. DOS PRAZOS E DAS CONDIÇÕES PARA ASSINATURA E EXECUÇÃO DA ATA </w:t>
      </w:r>
    </w:p>
    <w:p w:rsidR="006C4701" w:rsidRPr="00553129" w:rsidRDefault="006C4701" w:rsidP="006C4701">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6C4701" w:rsidRPr="00553129" w:rsidRDefault="006C4701" w:rsidP="006C4701">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6C4701" w:rsidRPr="00553129" w:rsidRDefault="006C4701" w:rsidP="006C4701">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6C4701" w:rsidRPr="00553129" w:rsidRDefault="006C4701" w:rsidP="006C4701">
      <w:pPr>
        <w:pStyle w:val="Corpodetexto"/>
        <w:spacing w:after="0"/>
        <w:jc w:val="both"/>
      </w:pPr>
      <w:r>
        <w:rPr>
          <w:b/>
        </w:rPr>
        <w:lastRenderedPageBreak/>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6C4701" w:rsidRPr="00553129" w:rsidRDefault="006C4701" w:rsidP="006C4701">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6C4701" w:rsidRPr="00553129" w:rsidRDefault="006C4701" w:rsidP="006C4701">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6C4701" w:rsidRPr="00B8256B" w:rsidRDefault="006C4701" w:rsidP="006C4701">
      <w:pPr>
        <w:jc w:val="both"/>
        <w:rPr>
          <w:rFonts w:eastAsia="Batang"/>
          <w:sz w:val="16"/>
          <w:szCs w:val="16"/>
        </w:rPr>
      </w:pPr>
    </w:p>
    <w:p w:rsidR="006C4701" w:rsidRPr="0068068E" w:rsidRDefault="006C4701" w:rsidP="006C4701">
      <w:pPr>
        <w:jc w:val="both"/>
        <w:rPr>
          <w:b/>
        </w:rPr>
      </w:pPr>
      <w:r w:rsidRPr="0068068E">
        <w:rPr>
          <w:b/>
        </w:rPr>
        <w:t xml:space="preserve">8.1. PRAZO DE ENTREGA, DE GARANTIA E DE SUBSTITUIÇÃO DOS </w:t>
      </w:r>
      <w:proofErr w:type="gramStart"/>
      <w:r w:rsidRPr="0068068E">
        <w:rPr>
          <w:b/>
        </w:rPr>
        <w:t>MATERIAIS</w:t>
      </w:r>
      <w:proofErr w:type="gramEnd"/>
    </w:p>
    <w:p w:rsidR="006C4701" w:rsidRPr="0068068E" w:rsidRDefault="006C4701" w:rsidP="006C4701">
      <w:pPr>
        <w:jc w:val="both"/>
      </w:pPr>
      <w:r w:rsidRPr="0068068E">
        <w:rPr>
          <w:b/>
        </w:rPr>
        <w:t>8.1.1.</w:t>
      </w:r>
      <w:r w:rsidRPr="0068068E">
        <w:t xml:space="preserve"> O prazo de entrega dos materiais é </w:t>
      </w:r>
      <w:r w:rsidRPr="00AB0149">
        <w:rPr>
          <w:b/>
        </w:rPr>
        <w:t xml:space="preserve">de no máximo </w:t>
      </w:r>
      <w:proofErr w:type="gramStart"/>
      <w:r w:rsidRPr="00AB0149">
        <w:rPr>
          <w:b/>
        </w:rPr>
        <w:t>5</w:t>
      </w:r>
      <w:proofErr w:type="gramEnd"/>
      <w:r w:rsidRPr="00AB0149">
        <w:rPr>
          <w:b/>
        </w:rPr>
        <w:t xml:space="preserve"> (dias) úteis</w:t>
      </w:r>
      <w:r w:rsidRPr="0068068E">
        <w:t xml:space="preserve"> contados a partir da data de emissão da Nota de Empenho.</w:t>
      </w:r>
    </w:p>
    <w:p w:rsidR="006C4701" w:rsidRPr="0068068E" w:rsidRDefault="006C4701" w:rsidP="006C4701">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6C4701" w:rsidRPr="0068068E" w:rsidRDefault="006C4701" w:rsidP="006C4701">
      <w:pPr>
        <w:jc w:val="both"/>
      </w:pPr>
      <w:r w:rsidRPr="0068068E">
        <w:rPr>
          <w:b/>
        </w:rPr>
        <w:t>8.1.3.</w:t>
      </w:r>
      <w:r w:rsidRPr="0068068E">
        <w:t xml:space="preserve"> Qualquer alteração do prazo de entrega dependerá de prévia e expressa aprovação, por escrito, do CONTRATANTE.</w:t>
      </w:r>
    </w:p>
    <w:p w:rsidR="006C4701" w:rsidRPr="00B8256B" w:rsidRDefault="006C4701" w:rsidP="006C4701">
      <w:pPr>
        <w:jc w:val="both"/>
        <w:rPr>
          <w:sz w:val="16"/>
          <w:szCs w:val="16"/>
        </w:rPr>
      </w:pPr>
    </w:p>
    <w:p w:rsidR="006C4701" w:rsidRPr="0068068E" w:rsidRDefault="006C4701" w:rsidP="006C4701">
      <w:pPr>
        <w:jc w:val="both"/>
        <w:rPr>
          <w:b/>
        </w:rPr>
      </w:pPr>
      <w:r w:rsidRPr="0068068E">
        <w:rPr>
          <w:b/>
        </w:rPr>
        <w:t>8.2. PRAZO DE GARANTIA</w:t>
      </w:r>
    </w:p>
    <w:p w:rsidR="006C4701" w:rsidRPr="0068068E" w:rsidRDefault="006C4701" w:rsidP="006C4701">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6C4701" w:rsidRPr="00B8256B" w:rsidRDefault="006C4701" w:rsidP="006C4701">
      <w:pPr>
        <w:jc w:val="both"/>
        <w:rPr>
          <w:sz w:val="16"/>
          <w:szCs w:val="16"/>
        </w:rPr>
      </w:pPr>
    </w:p>
    <w:p w:rsidR="006C4701" w:rsidRPr="006C375E" w:rsidRDefault="006C4701" w:rsidP="006C4701">
      <w:pPr>
        <w:jc w:val="both"/>
        <w:rPr>
          <w:b/>
        </w:rPr>
      </w:pPr>
      <w:r w:rsidRPr="0089131E">
        <w:rPr>
          <w:b/>
        </w:rPr>
        <w:t>8.3.</w:t>
      </w:r>
      <w:r w:rsidRPr="0068068E">
        <w:t xml:space="preserve"> </w:t>
      </w:r>
      <w:r w:rsidRPr="006C375E">
        <w:rPr>
          <w:b/>
        </w:rPr>
        <w:t xml:space="preserve">PRAZO DE SUBSTITUIÇÃO DOS </w:t>
      </w:r>
      <w:r>
        <w:rPr>
          <w:b/>
        </w:rPr>
        <w:t>MATERIAIS</w:t>
      </w:r>
    </w:p>
    <w:p w:rsidR="006C4701" w:rsidRDefault="006C4701" w:rsidP="006C4701">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6C4701" w:rsidRPr="00573236" w:rsidRDefault="006C4701" w:rsidP="006C4701">
      <w:pPr>
        <w:autoSpaceDE w:val="0"/>
        <w:autoSpaceDN w:val="0"/>
        <w:adjustRightInd w:val="0"/>
        <w:jc w:val="both"/>
        <w:rPr>
          <w:sz w:val="16"/>
          <w:szCs w:val="16"/>
        </w:rPr>
      </w:pPr>
    </w:p>
    <w:p w:rsidR="006C4701" w:rsidRPr="00553129" w:rsidRDefault="006C4701" w:rsidP="006C4701">
      <w:pPr>
        <w:autoSpaceDE w:val="0"/>
        <w:autoSpaceDN w:val="0"/>
        <w:adjustRightInd w:val="0"/>
        <w:jc w:val="both"/>
        <w:rPr>
          <w:b/>
        </w:rPr>
      </w:pPr>
      <w:r w:rsidRPr="00553129">
        <w:rPr>
          <w:b/>
        </w:rPr>
        <w:t>12. OBRIGAÇÕES DA CONTRATADA</w:t>
      </w:r>
    </w:p>
    <w:p w:rsidR="006C4701" w:rsidRPr="00553129" w:rsidRDefault="006C4701" w:rsidP="006C4701">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6C4701" w:rsidRPr="00553129" w:rsidRDefault="006C4701" w:rsidP="006C4701">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C4701" w:rsidRPr="00553129" w:rsidRDefault="006C4701" w:rsidP="006C4701">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6C4701" w:rsidRPr="00553129" w:rsidRDefault="006C4701" w:rsidP="006C4701">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6C4701" w:rsidRPr="00553129" w:rsidRDefault="006C4701" w:rsidP="006C4701">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6C4701" w:rsidRPr="00553129" w:rsidRDefault="006C4701" w:rsidP="006C4701">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6C4701" w:rsidRPr="00553129" w:rsidRDefault="006C4701" w:rsidP="006C4701">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6C4701" w:rsidRPr="00553129" w:rsidRDefault="006C4701" w:rsidP="006C4701">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6C4701" w:rsidRDefault="006C4701" w:rsidP="006C4701">
      <w:pPr>
        <w:jc w:val="both"/>
        <w:rPr>
          <w:b/>
        </w:rPr>
      </w:pPr>
    </w:p>
    <w:p w:rsidR="00B762BA" w:rsidRPr="00553129" w:rsidRDefault="00B762BA" w:rsidP="006C4701">
      <w:pPr>
        <w:jc w:val="both"/>
        <w:rPr>
          <w:b/>
        </w:rPr>
      </w:pPr>
    </w:p>
    <w:p w:rsidR="006C4701" w:rsidRPr="00553129" w:rsidRDefault="006C4701" w:rsidP="006C4701">
      <w:pPr>
        <w:jc w:val="both"/>
        <w:rPr>
          <w:b/>
        </w:rPr>
      </w:pPr>
      <w:r w:rsidRPr="00553129">
        <w:rPr>
          <w:b/>
        </w:rPr>
        <w:lastRenderedPageBreak/>
        <w:t>13. DAS OBRIGAÇÕES DO CONTRATANTE</w:t>
      </w:r>
    </w:p>
    <w:p w:rsidR="006C4701" w:rsidRPr="00553129" w:rsidRDefault="006C4701" w:rsidP="006C4701">
      <w:pPr>
        <w:jc w:val="both"/>
      </w:pPr>
      <w:r w:rsidRPr="00553129">
        <w:rPr>
          <w:b/>
        </w:rPr>
        <w:t>13.1</w:t>
      </w:r>
      <w:r w:rsidRPr="00553129">
        <w:t xml:space="preserve">. Pagar pontualmente pelo </w:t>
      </w:r>
      <w:r w:rsidRPr="00553129">
        <w:rPr>
          <w:b/>
        </w:rPr>
        <w:t>objeto</w:t>
      </w:r>
      <w:r w:rsidRPr="00553129">
        <w:t>;</w:t>
      </w:r>
    </w:p>
    <w:p w:rsidR="006C4701" w:rsidRPr="00553129" w:rsidRDefault="006C4701" w:rsidP="006C4701">
      <w:pPr>
        <w:jc w:val="both"/>
      </w:pPr>
      <w:r w:rsidRPr="00553129">
        <w:rPr>
          <w:b/>
        </w:rPr>
        <w:t>13.2</w:t>
      </w:r>
      <w:r w:rsidRPr="00553129">
        <w:t>. Comunicar à CONTRATADA, por escrito e em tempo hábil quaisquer instruções ou alterações a serem adotadas sobre assuntos relacionados a este Contrato;</w:t>
      </w:r>
    </w:p>
    <w:p w:rsidR="006C4701" w:rsidRPr="00553129" w:rsidRDefault="006C4701" w:rsidP="006C4701">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6C4701" w:rsidRPr="00553129" w:rsidRDefault="006C4701" w:rsidP="006C4701">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6C4701" w:rsidRPr="00553129" w:rsidRDefault="006C4701" w:rsidP="006C4701">
      <w:pPr>
        <w:jc w:val="both"/>
      </w:pPr>
      <w:r w:rsidRPr="00553129">
        <w:rPr>
          <w:b/>
        </w:rPr>
        <w:t>13.5</w:t>
      </w:r>
      <w:r w:rsidRPr="00553129">
        <w:t>. Fiscalizar e acompanhar a execução do objeto do contrato, sem que com isso venha excluir ou reduzir a responsabilidade da CONTRATADA;</w:t>
      </w:r>
    </w:p>
    <w:p w:rsidR="006C4701" w:rsidRPr="00553129" w:rsidRDefault="006C4701" w:rsidP="006C4701">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6C4701" w:rsidRPr="00553129" w:rsidRDefault="006C4701" w:rsidP="006C4701">
      <w:pPr>
        <w:jc w:val="both"/>
        <w:rPr>
          <w:rFonts w:eastAsia="Batang"/>
        </w:rPr>
      </w:pPr>
      <w:r w:rsidRPr="00553129">
        <w:rPr>
          <w:rFonts w:eastAsia="Batang"/>
          <w:b/>
        </w:rPr>
        <w:t>13.7.</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6C4701" w:rsidRPr="00553129" w:rsidRDefault="006C4701" w:rsidP="006C4701">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C4701" w:rsidRPr="00A42E8B" w:rsidRDefault="006C4701" w:rsidP="006C4701">
      <w:pPr>
        <w:jc w:val="both"/>
        <w:rPr>
          <w:sz w:val="16"/>
          <w:szCs w:val="16"/>
        </w:rPr>
      </w:pPr>
    </w:p>
    <w:p w:rsidR="006C4701" w:rsidRPr="00420A7B" w:rsidRDefault="006C4701" w:rsidP="006C4701">
      <w:pPr>
        <w:jc w:val="both"/>
        <w:rPr>
          <w:b/>
        </w:rPr>
      </w:pPr>
      <w:r>
        <w:rPr>
          <w:b/>
        </w:rPr>
        <w:t>11. DA EXECUÇÃO E DA FISCALIZAÇÃO</w:t>
      </w:r>
    </w:p>
    <w:p w:rsidR="006C4701" w:rsidRPr="00553129" w:rsidRDefault="006C4701" w:rsidP="006C4701">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6C4701" w:rsidRPr="00553129" w:rsidRDefault="006C4701" w:rsidP="006C4701">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C4701" w:rsidRPr="00553129" w:rsidRDefault="006C4701" w:rsidP="006C4701">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6C4701" w:rsidRPr="00553129" w:rsidRDefault="006C4701" w:rsidP="006C4701">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C4701" w:rsidRPr="00553129" w:rsidRDefault="006C4701" w:rsidP="006C4701">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6C4701" w:rsidRPr="00553129" w:rsidRDefault="006C4701" w:rsidP="006C4701">
      <w:pPr>
        <w:jc w:val="both"/>
        <w:rPr>
          <w:rFonts w:eastAsia="Batang"/>
        </w:rPr>
      </w:pPr>
      <w:r w:rsidRPr="00553129">
        <w:rPr>
          <w:rFonts w:eastAsia="Batang"/>
          <w:b/>
        </w:rPr>
        <w:t>7.6.</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6C4701" w:rsidRPr="00553129" w:rsidRDefault="006C4701" w:rsidP="006C4701">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6C4701" w:rsidRPr="00FA73CF" w:rsidRDefault="006C4701" w:rsidP="006C4701">
      <w:pPr>
        <w:jc w:val="both"/>
        <w:rPr>
          <w:sz w:val="16"/>
          <w:szCs w:val="16"/>
        </w:rPr>
      </w:pPr>
    </w:p>
    <w:p w:rsidR="006C4701" w:rsidRPr="003B3C21" w:rsidRDefault="006C4701" w:rsidP="006C4701">
      <w:pPr>
        <w:jc w:val="both"/>
        <w:rPr>
          <w:b/>
        </w:rPr>
      </w:pPr>
      <w:r>
        <w:rPr>
          <w:b/>
        </w:rPr>
        <w:t>12</w:t>
      </w:r>
      <w:r w:rsidRPr="003B3C21">
        <w:rPr>
          <w:b/>
        </w:rPr>
        <w:t xml:space="preserve">. </w:t>
      </w:r>
      <w:r>
        <w:rPr>
          <w:b/>
        </w:rPr>
        <w:t xml:space="preserve">DAS </w:t>
      </w:r>
      <w:r w:rsidRPr="003B3C21">
        <w:rPr>
          <w:b/>
        </w:rPr>
        <w:t>CONDIÇÕES DE PAGAMENTO</w:t>
      </w:r>
    </w:p>
    <w:p w:rsidR="006C4701" w:rsidRPr="00F8216E" w:rsidRDefault="006C4701" w:rsidP="006C4701">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C4701" w:rsidRPr="00F8216E" w:rsidRDefault="006C4701" w:rsidP="006C4701">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6C4701" w:rsidRPr="00F8216E" w:rsidRDefault="006C4701" w:rsidP="006C4701">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6C4701" w:rsidRPr="00F8216E" w:rsidRDefault="006C4701" w:rsidP="006C4701">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6C4701" w:rsidRDefault="006C4701" w:rsidP="006C4701">
      <w:pPr>
        <w:pStyle w:val="Corpodetexto"/>
        <w:spacing w:after="0"/>
        <w:jc w:val="both"/>
        <w:rPr>
          <w:b/>
        </w:rPr>
      </w:pPr>
      <w:r w:rsidRPr="00F8216E">
        <w:rPr>
          <w:b/>
        </w:rPr>
        <w:lastRenderedPageBreak/>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6C4701" w:rsidRPr="000A3351" w:rsidRDefault="006C4701" w:rsidP="006C4701">
      <w:pPr>
        <w:pStyle w:val="Corpodetexto"/>
        <w:spacing w:after="0"/>
        <w:jc w:val="both"/>
        <w:rPr>
          <w:sz w:val="16"/>
          <w:szCs w:val="16"/>
        </w:rPr>
      </w:pPr>
    </w:p>
    <w:p w:rsidR="006C4701" w:rsidRPr="003B3C21" w:rsidRDefault="006C4701" w:rsidP="006C4701">
      <w:pPr>
        <w:jc w:val="both"/>
        <w:rPr>
          <w:b/>
        </w:rPr>
      </w:pPr>
      <w:r>
        <w:rPr>
          <w:b/>
        </w:rPr>
        <w:t>13</w:t>
      </w:r>
      <w:r w:rsidRPr="003B3C21">
        <w:rPr>
          <w:b/>
        </w:rPr>
        <w:t>. CRITÉRIO DE ACEITABILIDADE DE PREÇO:</w:t>
      </w:r>
    </w:p>
    <w:p w:rsidR="006C4701" w:rsidRPr="003B3C21" w:rsidRDefault="006C4701" w:rsidP="006C4701">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C4701" w:rsidRPr="000A3351" w:rsidRDefault="006C4701" w:rsidP="006C4701">
      <w:pPr>
        <w:jc w:val="both"/>
        <w:rPr>
          <w:sz w:val="16"/>
          <w:szCs w:val="16"/>
        </w:rPr>
      </w:pPr>
    </w:p>
    <w:p w:rsidR="006C4701" w:rsidRPr="003B3C21" w:rsidRDefault="006C4701" w:rsidP="006C4701">
      <w:pPr>
        <w:jc w:val="both"/>
        <w:rPr>
          <w:b/>
        </w:rPr>
      </w:pPr>
      <w:r>
        <w:rPr>
          <w:b/>
        </w:rPr>
        <w:t>14</w:t>
      </w:r>
      <w:r w:rsidRPr="003B3C21">
        <w:rPr>
          <w:b/>
        </w:rPr>
        <w:t>. CRITÉRIO DE JULGAMENTO:</w:t>
      </w:r>
    </w:p>
    <w:p w:rsidR="006C4701" w:rsidRPr="003B3C21" w:rsidRDefault="006C4701" w:rsidP="006C4701">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6C4701" w:rsidRPr="000A3351" w:rsidRDefault="006C4701" w:rsidP="006C4701">
      <w:pPr>
        <w:autoSpaceDE w:val="0"/>
        <w:autoSpaceDN w:val="0"/>
        <w:adjustRightInd w:val="0"/>
        <w:jc w:val="both"/>
        <w:rPr>
          <w:sz w:val="16"/>
          <w:szCs w:val="16"/>
        </w:rPr>
      </w:pPr>
    </w:p>
    <w:p w:rsidR="006C4701" w:rsidRPr="00913FA4" w:rsidRDefault="006C4701" w:rsidP="006C4701">
      <w:pPr>
        <w:autoSpaceDE w:val="0"/>
        <w:autoSpaceDN w:val="0"/>
        <w:adjustRightInd w:val="0"/>
        <w:jc w:val="both"/>
        <w:rPr>
          <w:b/>
        </w:rPr>
      </w:pPr>
      <w:r>
        <w:rPr>
          <w:b/>
        </w:rPr>
        <w:t>15</w:t>
      </w:r>
      <w:r w:rsidRPr="00913FA4">
        <w:rPr>
          <w:b/>
        </w:rPr>
        <w:t xml:space="preserve">. SUBCONTRATAÇÃO </w:t>
      </w:r>
    </w:p>
    <w:p w:rsidR="006C4701" w:rsidRDefault="006C4701" w:rsidP="006C4701">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6C4701" w:rsidRDefault="006C4701" w:rsidP="006C4701">
      <w:pPr>
        <w:autoSpaceDE w:val="0"/>
        <w:autoSpaceDN w:val="0"/>
        <w:adjustRightInd w:val="0"/>
        <w:jc w:val="both"/>
        <w:rPr>
          <w:b/>
        </w:rPr>
      </w:pPr>
    </w:p>
    <w:p w:rsidR="006C4701" w:rsidRPr="006C727C" w:rsidRDefault="006C4701" w:rsidP="006C4701">
      <w:pPr>
        <w:jc w:val="both"/>
      </w:pPr>
      <w:r w:rsidRPr="006C727C">
        <w:rPr>
          <w:b/>
        </w:rPr>
        <w:t>1</w:t>
      </w:r>
      <w:r>
        <w:rPr>
          <w:b/>
        </w:rPr>
        <w:t>6</w:t>
      </w:r>
      <w:r w:rsidRPr="006C727C">
        <w:rPr>
          <w:b/>
        </w:rPr>
        <w:t>. DAS SANÇÕES</w:t>
      </w:r>
    </w:p>
    <w:p w:rsidR="006C4701" w:rsidRPr="006C727C" w:rsidRDefault="006C4701" w:rsidP="006C4701">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6C4701" w:rsidRPr="006C727C" w:rsidRDefault="006C4701" w:rsidP="006C4701">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6C4701" w:rsidRPr="006C727C" w:rsidRDefault="006C4701" w:rsidP="006C4701">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6C4701" w:rsidRPr="006C727C" w:rsidRDefault="006C4701" w:rsidP="006C4701">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6C4701" w:rsidRPr="006C727C" w:rsidRDefault="006C4701" w:rsidP="006C4701">
      <w:pPr>
        <w:pStyle w:val="Corpodetexto"/>
        <w:spacing w:after="0"/>
        <w:jc w:val="both"/>
      </w:pPr>
      <w:r w:rsidRPr="006C727C">
        <w:rPr>
          <w:b/>
        </w:rPr>
        <w:t>1</w:t>
      </w:r>
      <w:r>
        <w:rPr>
          <w:b/>
        </w:rPr>
        <w:t>6</w:t>
      </w:r>
      <w:r w:rsidRPr="006C727C">
        <w:rPr>
          <w:b/>
        </w:rPr>
        <w:t xml:space="preserve">.1.4. </w:t>
      </w:r>
      <w:r w:rsidRPr="006C727C">
        <w:t>Não mantiver a proposta;</w:t>
      </w:r>
    </w:p>
    <w:p w:rsidR="006C4701" w:rsidRPr="006C727C" w:rsidRDefault="006C4701" w:rsidP="006C4701">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6C4701" w:rsidRPr="006C727C" w:rsidRDefault="006C4701" w:rsidP="006C4701">
      <w:pPr>
        <w:pStyle w:val="Corpodetexto"/>
        <w:spacing w:after="0"/>
        <w:jc w:val="both"/>
      </w:pPr>
      <w:r w:rsidRPr="006C727C">
        <w:rPr>
          <w:b/>
        </w:rPr>
        <w:t>1</w:t>
      </w:r>
      <w:r>
        <w:rPr>
          <w:b/>
        </w:rPr>
        <w:t>6</w:t>
      </w:r>
      <w:r w:rsidRPr="006C727C">
        <w:rPr>
          <w:b/>
        </w:rPr>
        <w:t xml:space="preserve">.1.6. </w:t>
      </w:r>
      <w:r w:rsidRPr="006C727C">
        <w:t>Comportar-se de modo inidôneo;</w:t>
      </w:r>
    </w:p>
    <w:p w:rsidR="006C4701" w:rsidRPr="006C727C" w:rsidRDefault="006C4701" w:rsidP="006C4701">
      <w:pPr>
        <w:pStyle w:val="Corpodetexto"/>
        <w:spacing w:after="0"/>
        <w:jc w:val="both"/>
        <w:rPr>
          <w:b/>
        </w:rPr>
      </w:pPr>
      <w:r w:rsidRPr="006C727C">
        <w:rPr>
          <w:b/>
        </w:rPr>
        <w:t>1</w:t>
      </w:r>
      <w:r>
        <w:rPr>
          <w:b/>
        </w:rPr>
        <w:t>6</w:t>
      </w:r>
      <w:r w:rsidRPr="006C727C">
        <w:rPr>
          <w:b/>
        </w:rPr>
        <w:t xml:space="preserve">.1.7. </w:t>
      </w:r>
      <w:r w:rsidRPr="006C727C">
        <w:t>Cometer fraude fiscal.</w:t>
      </w:r>
    </w:p>
    <w:p w:rsidR="006C4701" w:rsidRPr="006C727C" w:rsidRDefault="006C4701" w:rsidP="006C4701">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6C4701" w:rsidRPr="006C727C" w:rsidRDefault="006C4701" w:rsidP="006C4701">
      <w:pPr>
        <w:jc w:val="both"/>
      </w:pPr>
      <w:r w:rsidRPr="006C727C">
        <w:rPr>
          <w:b/>
        </w:rPr>
        <w:t>1</w:t>
      </w:r>
      <w:r>
        <w:rPr>
          <w:b/>
        </w:rPr>
        <w:t>6</w:t>
      </w:r>
      <w:r w:rsidRPr="006C727C">
        <w:rPr>
          <w:b/>
        </w:rPr>
        <w:t>.2.1.</w:t>
      </w:r>
      <w:r w:rsidRPr="006C727C">
        <w:t xml:space="preserve"> Advertência, nas hipóteses de execução irregular de que não resulte prejuízo;</w:t>
      </w:r>
    </w:p>
    <w:p w:rsidR="006C4701" w:rsidRPr="006C727C" w:rsidRDefault="006C4701" w:rsidP="006C4701">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6C4701" w:rsidRPr="006C727C" w:rsidRDefault="006C4701" w:rsidP="006C4701">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6C4701" w:rsidRPr="006C727C" w:rsidRDefault="006C4701" w:rsidP="006C4701">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6C4701" w:rsidRPr="006C727C" w:rsidRDefault="006C4701" w:rsidP="006C4701">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6C4701" w:rsidRPr="006C727C" w:rsidRDefault="006C4701" w:rsidP="006C4701">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6C4701" w:rsidRPr="006C727C" w:rsidRDefault="006C4701" w:rsidP="006C4701">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6C4701" w:rsidRPr="006C727C" w:rsidRDefault="006C4701" w:rsidP="006C4701">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6C4701" w:rsidRPr="006C727C" w:rsidRDefault="006C4701" w:rsidP="006C4701">
      <w:pPr>
        <w:pStyle w:val="Corpodetexto"/>
        <w:spacing w:after="0"/>
        <w:jc w:val="both"/>
      </w:pPr>
      <w:r w:rsidRPr="006C727C">
        <w:rPr>
          <w:b/>
        </w:rPr>
        <w:t>1</w:t>
      </w:r>
      <w:r>
        <w:rPr>
          <w:b/>
        </w:rPr>
        <w:t>6</w:t>
      </w:r>
      <w:r w:rsidRPr="006C727C">
        <w:rPr>
          <w:b/>
        </w:rPr>
        <w:t xml:space="preserve">.4.3. </w:t>
      </w:r>
      <w:r w:rsidRPr="006C727C">
        <w:t>Rescisão do contrato;</w:t>
      </w:r>
    </w:p>
    <w:p w:rsidR="006C4701" w:rsidRPr="006C727C" w:rsidRDefault="006C4701" w:rsidP="006C4701">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6C4701" w:rsidRPr="006C727C" w:rsidRDefault="006C4701" w:rsidP="006C4701">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6C4701" w:rsidRPr="006C727C" w:rsidRDefault="006C4701" w:rsidP="006C4701">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6C4701" w:rsidRPr="006C727C" w:rsidRDefault="006C4701" w:rsidP="006C4701">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6C4701" w:rsidRPr="006C727C" w:rsidRDefault="006C4701" w:rsidP="006C4701">
      <w:pPr>
        <w:jc w:val="both"/>
      </w:pPr>
      <w:r w:rsidRPr="006C727C">
        <w:rPr>
          <w:b/>
        </w:rPr>
        <w:lastRenderedPageBreak/>
        <w:t>1</w:t>
      </w:r>
      <w:r>
        <w:rPr>
          <w:b/>
        </w:rPr>
        <w:t>6</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6C4701" w:rsidRPr="006C727C" w:rsidRDefault="006C4701" w:rsidP="006C4701">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6C4701" w:rsidRPr="006C727C" w:rsidRDefault="006C4701" w:rsidP="006C4701">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6C4701" w:rsidRPr="006C727C" w:rsidRDefault="006C4701" w:rsidP="006C4701">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6C4701" w:rsidRPr="006C727C" w:rsidRDefault="006C4701" w:rsidP="006C4701">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6C4701" w:rsidRDefault="006C4701" w:rsidP="006C4701">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6C4701" w:rsidRDefault="006C4701" w:rsidP="006C4701">
      <w:pPr>
        <w:pStyle w:val="Corpodetexto"/>
        <w:ind w:right="282"/>
        <w:contextualSpacing/>
        <w:rPr>
          <w:b/>
        </w:rPr>
      </w:pPr>
    </w:p>
    <w:p w:rsidR="006C4701" w:rsidRPr="00553129" w:rsidRDefault="00B3352F" w:rsidP="006C4701">
      <w:pPr>
        <w:pStyle w:val="Corpodetexto"/>
        <w:spacing w:after="0"/>
        <w:ind w:right="284"/>
        <w:contextualSpacing/>
        <w:rPr>
          <w:b/>
        </w:rPr>
      </w:pPr>
      <w:r>
        <w:rPr>
          <w:b/>
        </w:rPr>
        <w:t>17</w:t>
      </w:r>
      <w:r w:rsidR="006C4701" w:rsidRPr="00553129">
        <w:rPr>
          <w:b/>
        </w:rPr>
        <w:t>. DA REVISÃO E DO CANCELAMENTO DOS PREÇOS REGISTRADOS</w:t>
      </w:r>
    </w:p>
    <w:p w:rsidR="006C4701" w:rsidRPr="00553129" w:rsidRDefault="00B3352F" w:rsidP="006C4701">
      <w:pPr>
        <w:ind w:right="284"/>
        <w:contextualSpacing/>
        <w:jc w:val="both"/>
      </w:pPr>
      <w:r>
        <w:rPr>
          <w:b/>
        </w:rPr>
        <w:t>17</w:t>
      </w:r>
      <w:r w:rsidR="006C4701" w:rsidRPr="00553129">
        <w:rPr>
          <w:b/>
        </w:rPr>
        <w:t xml:space="preserve">.1. </w:t>
      </w:r>
      <w:r w:rsidR="006C4701" w:rsidRPr="00553129">
        <w:t>A revisão e o cancelamento dos preços registrados tem como embasamento legal o Decreto Municipal nº015, de 17 de fevereiro de 2017 artigos 16, 17, 18, 19 e 20 conforme abaixo:</w:t>
      </w:r>
    </w:p>
    <w:p w:rsidR="006C4701" w:rsidRPr="00553129" w:rsidRDefault="006C4701" w:rsidP="006C4701">
      <w:pPr>
        <w:ind w:right="284"/>
        <w:contextualSpacing/>
        <w:jc w:val="both"/>
      </w:pPr>
    </w:p>
    <w:p w:rsidR="006C4701" w:rsidRPr="00553129" w:rsidRDefault="006C4701" w:rsidP="006C4701">
      <w:pPr>
        <w:ind w:left="3402" w:right="282"/>
        <w:contextualSpacing/>
        <w:jc w:val="both"/>
        <w:rPr>
          <w:i/>
        </w:rPr>
      </w:pPr>
      <w:bookmarkStart w:id="2" w:name="artigo_16"/>
      <w:proofErr w:type="gramStart"/>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6C4701" w:rsidRPr="00553129" w:rsidRDefault="006C4701" w:rsidP="006C4701">
      <w:pPr>
        <w:ind w:left="3402" w:right="282"/>
        <w:contextualSpacing/>
        <w:jc w:val="both"/>
        <w:rPr>
          <w:i/>
        </w:rPr>
      </w:pPr>
    </w:p>
    <w:p w:rsidR="006C4701" w:rsidRPr="00553129" w:rsidRDefault="006C4701" w:rsidP="006C4701">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w:t>
      </w:r>
      <w:r w:rsidRPr="00553129">
        <w:rPr>
          <w:i/>
          <w:shd w:val="clear" w:color="auto" w:fill="FFFFFF"/>
        </w:rPr>
        <w:lastRenderedPageBreak/>
        <w:t xml:space="preserve">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6C4701" w:rsidRPr="00553129" w:rsidRDefault="006C4701" w:rsidP="006C4701">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i/>
          <w:shd w:val="clear" w:color="auto" w:fill="FFFFFF"/>
        </w:rPr>
        <w:t>I - descumprir as condições da ata de registro de preços;</w:t>
      </w:r>
    </w:p>
    <w:p w:rsidR="006C4701" w:rsidRPr="00553129" w:rsidRDefault="006C4701" w:rsidP="006C4701">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6C4701" w:rsidRPr="00553129" w:rsidRDefault="006C4701" w:rsidP="006C4701">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6C4701" w:rsidRPr="00553129" w:rsidRDefault="006C4701" w:rsidP="006C4701">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6C4701" w:rsidRPr="00553129" w:rsidRDefault="006C4701" w:rsidP="006C4701">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EA0F32" w:rsidRDefault="00EA0F32" w:rsidP="00EA0F32">
      <w:pPr>
        <w:jc w:val="both"/>
        <w:rPr>
          <w:b/>
        </w:rPr>
      </w:pPr>
    </w:p>
    <w:p w:rsidR="00EA0F32" w:rsidRPr="00A2203A" w:rsidRDefault="00EA0F32" w:rsidP="00EA0F32">
      <w:pPr>
        <w:jc w:val="both"/>
        <w:rPr>
          <w:b/>
        </w:rPr>
      </w:pPr>
      <w:r w:rsidRPr="00A2203A">
        <w:rPr>
          <w:b/>
        </w:rPr>
        <w:t>QUALIFICAÇÃO TÉCNICA</w:t>
      </w:r>
    </w:p>
    <w:p w:rsidR="00EA0F32" w:rsidRPr="00A2203A" w:rsidRDefault="00EA0F32" w:rsidP="00EA0F32">
      <w:pPr>
        <w:jc w:val="both"/>
        <w:rPr>
          <w:b/>
        </w:rPr>
      </w:pPr>
      <w:r w:rsidRPr="00A2203A">
        <w:rPr>
          <w:b/>
        </w:rPr>
        <w:t>1</w:t>
      </w:r>
      <w:r w:rsidRPr="00A2203A">
        <w:t xml:space="preserve">. </w:t>
      </w:r>
      <w:r w:rsidRPr="00167251">
        <w:t>Cópia de atestado (s) expedido (s) por pessoa jurídica de direito público ou privado, comprovando que a licitante prestou serviços semelhantes ao objeto deste Edital</w:t>
      </w:r>
      <w:r>
        <w:t>.</w:t>
      </w:r>
    </w:p>
    <w:p w:rsidR="00EA0F32" w:rsidRPr="00A2203A" w:rsidRDefault="00EA0F32" w:rsidP="00EA0F32">
      <w:pPr>
        <w:jc w:val="both"/>
        <w:rPr>
          <w:b/>
        </w:rPr>
      </w:pPr>
      <w:r w:rsidRPr="00A2203A">
        <w:rPr>
          <w:b/>
        </w:rPr>
        <w:t xml:space="preserve">2. </w:t>
      </w:r>
      <w:r w:rsidRPr="00A2203A">
        <w:t>Licença atualizada da vigilância Sanitária Estadual ou Municipal;</w:t>
      </w:r>
    </w:p>
    <w:p w:rsidR="00EA0F32" w:rsidRPr="00A2203A" w:rsidRDefault="00EA0F32" w:rsidP="00EA0F32">
      <w:pPr>
        <w:contextualSpacing/>
        <w:jc w:val="both"/>
        <w:rPr>
          <w:b/>
        </w:rPr>
      </w:pPr>
      <w:r w:rsidRPr="00A2203A">
        <w:rPr>
          <w:b/>
        </w:rPr>
        <w:t>3.</w:t>
      </w:r>
      <w:r w:rsidRPr="00A2203A">
        <w:t xml:space="preserve"> </w:t>
      </w:r>
      <w:r>
        <w:t>ANVISA para Descartáveis</w:t>
      </w:r>
      <w:r w:rsidRPr="00A2203A">
        <w:t>.</w:t>
      </w:r>
    </w:p>
    <w:p w:rsidR="008B17D3" w:rsidRDefault="00EA0F32" w:rsidP="00EA0F32">
      <w:r w:rsidRPr="00A2203A">
        <w:rPr>
          <w:b/>
        </w:rPr>
        <w:t>4.</w:t>
      </w:r>
      <w:r w:rsidRPr="00A2203A">
        <w:t xml:space="preserve"> Alvará de Funcionamento</w:t>
      </w:r>
    </w:p>
    <w:sectPr w:rsidR="008B17D3"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B07C6"/>
    <w:rsid w:val="000B1A5D"/>
    <w:rsid w:val="000C2DB8"/>
    <w:rsid w:val="0011025D"/>
    <w:rsid w:val="001279F6"/>
    <w:rsid w:val="00146136"/>
    <w:rsid w:val="0015385C"/>
    <w:rsid w:val="00156345"/>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955C0"/>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60E0D"/>
    <w:rsid w:val="00473FCA"/>
    <w:rsid w:val="004827B4"/>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77EBD"/>
    <w:rsid w:val="005800B3"/>
    <w:rsid w:val="005838CF"/>
    <w:rsid w:val="005A536F"/>
    <w:rsid w:val="005C390E"/>
    <w:rsid w:val="005C3DBA"/>
    <w:rsid w:val="005D14E2"/>
    <w:rsid w:val="005D3639"/>
    <w:rsid w:val="005E36E4"/>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C375E"/>
    <w:rsid w:val="006C4701"/>
    <w:rsid w:val="006D0278"/>
    <w:rsid w:val="006D572D"/>
    <w:rsid w:val="006F7AB8"/>
    <w:rsid w:val="00700A1C"/>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B17D3"/>
    <w:rsid w:val="008B388E"/>
    <w:rsid w:val="008E28CE"/>
    <w:rsid w:val="0090178F"/>
    <w:rsid w:val="00905014"/>
    <w:rsid w:val="00911AC6"/>
    <w:rsid w:val="00913518"/>
    <w:rsid w:val="00914123"/>
    <w:rsid w:val="00915D01"/>
    <w:rsid w:val="00941CD3"/>
    <w:rsid w:val="009445A4"/>
    <w:rsid w:val="00951B61"/>
    <w:rsid w:val="0096320A"/>
    <w:rsid w:val="00967FC0"/>
    <w:rsid w:val="00974AAD"/>
    <w:rsid w:val="0099288E"/>
    <w:rsid w:val="00993D0A"/>
    <w:rsid w:val="009A52D8"/>
    <w:rsid w:val="009B367B"/>
    <w:rsid w:val="009B756D"/>
    <w:rsid w:val="009B7689"/>
    <w:rsid w:val="009C06E0"/>
    <w:rsid w:val="009D5849"/>
    <w:rsid w:val="00A06496"/>
    <w:rsid w:val="00A20203"/>
    <w:rsid w:val="00A206A7"/>
    <w:rsid w:val="00A26355"/>
    <w:rsid w:val="00A40ECE"/>
    <w:rsid w:val="00A41B9D"/>
    <w:rsid w:val="00A440BB"/>
    <w:rsid w:val="00A57583"/>
    <w:rsid w:val="00A631F3"/>
    <w:rsid w:val="00A92BA2"/>
    <w:rsid w:val="00AA66E5"/>
    <w:rsid w:val="00AA695B"/>
    <w:rsid w:val="00AB0149"/>
    <w:rsid w:val="00AC0D93"/>
    <w:rsid w:val="00AE5DCE"/>
    <w:rsid w:val="00AF3C5F"/>
    <w:rsid w:val="00B02E1C"/>
    <w:rsid w:val="00B03197"/>
    <w:rsid w:val="00B06E0B"/>
    <w:rsid w:val="00B166C6"/>
    <w:rsid w:val="00B326E9"/>
    <w:rsid w:val="00B3352F"/>
    <w:rsid w:val="00B34D28"/>
    <w:rsid w:val="00B762BA"/>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17C1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A0F32"/>
    <w:rsid w:val="00EA7F1E"/>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1DBF"/>
    <w:rsid w:val="00F7488A"/>
    <w:rsid w:val="00F756FA"/>
    <w:rsid w:val="00FA73CF"/>
    <w:rsid w:val="00FB4E1B"/>
    <w:rsid w:val="00FE2565"/>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868297642">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35D6-6A9B-4215-9DB0-476FEA5D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4893</Words>
  <Characters>26424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38</cp:revision>
  <cp:lastPrinted>2018-10-11T17:43:00Z</cp:lastPrinted>
  <dcterms:created xsi:type="dcterms:W3CDTF">2017-04-18T16:19:00Z</dcterms:created>
  <dcterms:modified xsi:type="dcterms:W3CDTF">2019-09-09T14:15:00Z</dcterms:modified>
</cp:coreProperties>
</file>